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7C2448" w:rsidRDefault="002371D8" w:rsidP="007C2448">
      <w:pPr>
        <w:spacing w:line="240" w:lineRule="auto"/>
        <w:ind w:left="-851"/>
        <w:jc w:val="center"/>
        <w:rPr>
          <w:rFonts w:ascii="Arial" w:hAnsi="Arial" w:cs="Arial"/>
          <w:sz w:val="40"/>
          <w:szCs w:val="40"/>
          <w:lang w:val="en-US"/>
        </w:rPr>
      </w:pPr>
      <w:r w:rsidRPr="007C2448">
        <w:rPr>
          <w:rFonts w:ascii="Arial" w:hAnsi="Arial" w:cs="Arial"/>
          <w:sz w:val="40"/>
          <w:szCs w:val="40"/>
          <w:lang w:val="en-US"/>
        </w:rPr>
        <w:t>Greece</w:t>
      </w:r>
      <w:r w:rsidR="006E0347" w:rsidRPr="006E0347">
        <w:rPr>
          <w:rFonts w:ascii="Arial" w:hAnsi="Arial" w:cs="Arial"/>
          <w:sz w:val="40"/>
          <w:szCs w:val="40"/>
          <w:lang w:val="en-US"/>
        </w:rPr>
        <w:t xml:space="preserve"> </w:t>
      </w:r>
      <w:r w:rsidR="006E0347" w:rsidRPr="007C2448">
        <w:rPr>
          <w:rFonts w:ascii="Arial" w:hAnsi="Arial" w:cs="Arial"/>
          <w:sz w:val="40"/>
          <w:szCs w:val="40"/>
          <w:lang w:val="en-US"/>
        </w:rPr>
        <w:t>– Bulgaria</w:t>
      </w:r>
    </w:p>
    <w:p w:rsidR="00E613A3" w:rsidRDefault="00E613A3"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061245" cy="5088507"/>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62303" cy="5089832"/>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7C2448" w:rsidRDefault="007C2448" w:rsidP="007C2448">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7C2448" w:rsidRDefault="007C2448" w:rsidP="007C2448">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041F94" w:rsidRPr="0085195F" w:rsidRDefault="000A647A" w:rsidP="00041F94">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041F94" w:rsidRPr="0085195F">
        <w:t>This is intended as an electronic publication so map quality is generally high to allow users to zoom into specific territories.</w:t>
      </w:r>
    </w:p>
    <w:p w:rsidR="000A647A" w:rsidRDefault="00041F94" w:rsidP="00041F94">
      <w:pPr>
        <w:shd w:val="clear" w:color="auto" w:fill="FFFFFF" w:themeFill="background1"/>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180932" w:rsidRDefault="00180932" w:rsidP="00180932">
      <w:r>
        <w:t>In the following the traffic light for each indicator represents how your programme territory compares to wider European and national medians where green = your programme area performs better for that indicator, yellow = similar, and red = wors</w:t>
      </w:r>
      <w:r w:rsidR="00041F94">
        <w:t>e.</w:t>
      </w:r>
    </w:p>
    <w:p w:rsidR="00D87185" w:rsidRDefault="00D87185" w:rsidP="00D87185">
      <w:r>
        <w:t>In creating the traffic</w:t>
      </w:r>
      <w:r w:rsidR="00180932">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BC4B84" w:rsidRPr="00973E76" w:rsidRDefault="00BC4B84" w:rsidP="00BC4B84">
      <w:pPr>
        <w:spacing w:after="240"/>
        <w:rPr>
          <w:lang w:val="en-US"/>
        </w:rPr>
      </w:pPr>
      <w:r>
        <w:t>EU 27+4 in Traffic Lights and box-plots means</w:t>
      </w:r>
      <w:r w:rsidRPr="00021CAB">
        <w:t xml:space="preserve"> the EU Member States a</w:t>
      </w:r>
      <w:r>
        <w:t>s well as</w:t>
      </w:r>
      <w:r w:rsidRPr="00021CAB">
        <w:t xml:space="preserve"> Iceland, Li</w:t>
      </w:r>
      <w:r w:rsidR="001F3D60">
        <w:t>e</w:t>
      </w:r>
      <w:r w:rsidRPr="00021CAB">
        <w:t xml:space="preserve">chtenstein, Norway and Switzerland – the </w:t>
      </w:r>
      <w:r>
        <w:t>ESPON space</w:t>
      </w:r>
      <w:r w:rsidRPr="00973E76">
        <w:rPr>
          <w:lang w:val="en-US"/>
        </w:rPr>
        <w:t>.</w:t>
      </w:r>
    </w:p>
    <w:p w:rsidR="00337872" w:rsidRDefault="00337872" w:rsidP="00337872">
      <w:pPr>
        <w:pStyle w:val="Heading3"/>
      </w:pPr>
      <w:r w:rsidRPr="009C0409">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1108F" w:rsidRDefault="0051108F" w:rsidP="00C33A99">
      <w:r>
        <w:rPr>
          <w:noProof/>
          <w:lang w:val="en-US"/>
        </w:rPr>
        <w:drawing>
          <wp:anchor distT="0" distB="0" distL="114300" distR="114300" simplePos="0" relativeHeight="251687424" behindDoc="1" locked="0" layoutInCell="1" allowOverlap="1">
            <wp:simplePos x="0" y="0"/>
            <wp:positionH relativeFrom="column">
              <wp:posOffset>-6350</wp:posOffset>
            </wp:positionH>
            <wp:positionV relativeFrom="paragraph">
              <wp:posOffset>51435</wp:posOffset>
            </wp:positionV>
            <wp:extent cx="5276850" cy="2695575"/>
            <wp:effectExtent l="19050" t="0" r="0" b="0"/>
            <wp:wrapTight wrapText="bothSides">
              <wp:wrapPolygon edited="0">
                <wp:start x="-78" y="0"/>
                <wp:lineTo x="-78" y="21524"/>
                <wp:lineTo x="21600" y="21524"/>
                <wp:lineTo x="21600" y="0"/>
                <wp:lineTo x="-78" y="0"/>
              </wp:wrapPolygon>
            </wp:wrapTight>
            <wp:docPr id="5" name="Bild 1" descr="P:\LU_2011_ESPON_TerrEvi_100269\03_Project development\WorkinProgress_FactSheets\TL_CBC2\CBC Programme Ellada - Bulgar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Ellada - Bulgaria 1.png"/>
                    <pic:cNvPicPr>
                      <a:picLocks noChangeAspect="1" noChangeArrowheads="1"/>
                    </pic:cNvPicPr>
                  </pic:nvPicPr>
                  <pic:blipFill>
                    <a:blip r:embed="rId15" cstate="print"/>
                    <a:srcRect/>
                    <a:stretch>
                      <a:fillRect/>
                    </a:stretch>
                  </pic:blipFill>
                  <pic:spPr bwMode="auto">
                    <a:xfrm>
                      <a:off x="0" y="0"/>
                      <a:ext cx="5276850" cy="2695575"/>
                    </a:xfrm>
                    <a:prstGeom prst="rect">
                      <a:avLst/>
                    </a:prstGeom>
                    <a:noFill/>
                    <a:ln w="9525">
                      <a:noFill/>
                      <a:miter lim="800000"/>
                      <a:headEnd/>
                      <a:tailEnd/>
                    </a:ln>
                  </pic:spPr>
                </pic:pic>
              </a:graphicData>
            </a:graphic>
          </wp:anchor>
        </w:drawing>
      </w:r>
    </w:p>
    <w:p w:rsidR="00B92990" w:rsidRPr="00B92990" w:rsidRDefault="00B92990" w:rsidP="00D55F79">
      <w:pPr>
        <w:spacing w:before="120"/>
      </w:pPr>
      <w:r w:rsidRPr="00B92990">
        <w:t xml:space="preserve">According to all indicators reported above, the </w:t>
      </w:r>
      <w:r w:rsidR="00A57D5B">
        <w:t xml:space="preserve">Greece – Bulgaria </w:t>
      </w:r>
      <w:r w:rsidRPr="00B92990">
        <w:t>CBC area performs at a lower level than the EU27+4 space and all CBC ones. Considering the ob</w:t>
      </w:r>
      <w:r>
        <w:t>jective of R&amp;D expenditure of  percent</w:t>
      </w:r>
      <w:r w:rsidRPr="00B92990">
        <w:t xml:space="preserve"> of the GDP - one of the five headline targets in the Europe 2020 Strategy - the CBC area is still lagging behind the </w:t>
      </w:r>
      <w:r w:rsidRPr="00B92990">
        <w:lastRenderedPageBreak/>
        <w:t xml:space="preserve">EU27+4 space and all CBC. Moreover, </w:t>
      </w:r>
      <w:r w:rsidR="00A57D5B">
        <w:t xml:space="preserve">Greece – Bulgaria </w:t>
      </w:r>
      <w:r w:rsidRPr="00B92990">
        <w:t>is characterized by a high level of internal disparity and by a performance similar to Greece and substantially better than Bulgaria.</w:t>
      </w:r>
    </w:p>
    <w:p w:rsidR="00B92990" w:rsidRPr="00B92990" w:rsidRDefault="00B92990" w:rsidP="00B92990">
      <w:r w:rsidRPr="00B92990">
        <w:t xml:space="preserve">Concerning the ratio of employment in knowledge-intensive service to the total employment in 2010, the CBC area has lower values than the EU27+4 space and all CBC level; higher than both Greece and Bulgaria. The distribution inside the TNC is rather homogenous resulting in a low level of internal disparity. </w:t>
      </w:r>
    </w:p>
    <w:p w:rsidR="00B92990" w:rsidRPr="00B92990" w:rsidRDefault="00B92990" w:rsidP="00B92990">
      <w:r w:rsidRPr="00B92990">
        <w:t xml:space="preserve">In terms of the percentage of individuals regularly using internet in 2011, the CBC is significantly behind the EU27+4 space and all CBC, but it performs better than Greece and Bulgaria, with </w:t>
      </w:r>
      <w:r w:rsidR="009A58B8" w:rsidRPr="00B92990">
        <w:t>an</w:t>
      </w:r>
      <w:r w:rsidRPr="00B92990">
        <w:t xml:space="preserve"> internal disparity.</w:t>
      </w:r>
    </w:p>
    <w:p w:rsidR="00B92990" w:rsidRPr="00B92990" w:rsidRDefault="009B2BE6" w:rsidP="00B92990">
      <w:r>
        <w:t>According to</w:t>
      </w:r>
      <w:r w:rsidR="00B92990" w:rsidRPr="00B92990">
        <w:t xml:space="preserve"> the </w:t>
      </w:r>
      <w:r>
        <w:t>classification o</w:t>
      </w:r>
      <w:r w:rsidR="00B92990" w:rsidRPr="00B92990">
        <w:t xml:space="preserve">f the KIT project, </w:t>
      </w:r>
      <w:r w:rsidR="00EB19B2">
        <w:t>MAP 1</w:t>
      </w:r>
      <w:r w:rsidR="00B92990" w:rsidRPr="00B92990">
        <w:t xml:space="preserve"> identifies two territorial patterns of innovation, which are moreover keeping up with national borders: </w:t>
      </w:r>
    </w:p>
    <w:p w:rsidR="00B92990" w:rsidRPr="001A612A" w:rsidRDefault="00B92990" w:rsidP="00B92990">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Greek side</w:t>
      </w:r>
      <w:r>
        <w:rPr>
          <w:rFonts w:cstheme="minorHAnsi"/>
          <w:szCs w:val="20"/>
        </w:rPr>
        <w: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D87185" w:rsidRDefault="00B92990" w:rsidP="00B92990">
      <w:pPr>
        <w:pStyle w:val="ListParagraph"/>
        <w:numPr>
          <w:ilvl w:val="0"/>
          <w:numId w:val="14"/>
        </w:numPr>
        <w:spacing w:line="240" w:lineRule="atLeast"/>
        <w:rPr>
          <w:rFonts w:cstheme="minorHAnsi"/>
          <w:szCs w:val="20"/>
        </w:rPr>
      </w:pPr>
      <w:r w:rsidRPr="001A612A">
        <w:rPr>
          <w:rFonts w:cstheme="minorHAnsi"/>
          <w:szCs w:val="20"/>
        </w:rPr>
        <w:t>‘Creative imitation area’,</w:t>
      </w:r>
      <w:r>
        <w:rPr>
          <w:rFonts w:cstheme="minorHAnsi"/>
          <w:szCs w:val="20"/>
        </w:rPr>
        <w:t xml:space="preserve"> in the</w:t>
      </w:r>
      <w:r w:rsidRPr="001A612A">
        <w:rPr>
          <w:rFonts w:cstheme="minorHAnsi"/>
          <w:szCs w:val="20"/>
        </w:rPr>
        <w:t xml:space="preserve"> Bulgarian </w:t>
      </w:r>
      <w:r>
        <w:rPr>
          <w:rFonts w:cstheme="minorHAnsi"/>
          <w:szCs w:val="20"/>
        </w:rPr>
        <w:t xml:space="preserve">part.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B92990" w:rsidRPr="00D87185" w:rsidRDefault="00D87185" w:rsidP="00D87185">
      <w:pPr>
        <w:spacing w:after="0" w:line="240" w:lineRule="auto"/>
        <w:jc w:val="left"/>
        <w:rPr>
          <w:rFonts w:cstheme="minorHAnsi"/>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A0696D">
        <w:rPr>
          <w:b/>
        </w:rPr>
        <w:t xml:space="preserve"> for the CBC </w:t>
      </w:r>
      <w:r w:rsidR="002371D8">
        <w:rPr>
          <w:b/>
        </w:rPr>
        <w:t>Greece</w:t>
      </w:r>
      <w:r w:rsidR="00A0696D">
        <w:rPr>
          <w:b/>
        </w:rPr>
        <w:t>-Bulgaria</w:t>
      </w:r>
    </w:p>
    <w:p w:rsidR="008A3B96" w:rsidRDefault="008A3B96" w:rsidP="008A3B96"/>
    <w:p w:rsidR="008A3B96" w:rsidRDefault="00303BAF" w:rsidP="008A3B96">
      <w:pPr>
        <w:spacing w:after="0" w:line="240" w:lineRule="auto"/>
      </w:pPr>
      <w:r w:rsidRPr="00303BAF">
        <w:rPr>
          <w:noProof/>
          <w:lang w:val="de-DE" w:eastAsia="de-DE"/>
        </w:rPr>
        <w:pict>
          <v:oval id="_x0000_s1029" style="position:absolute;left:0;text-align:left;margin-left:275.5pt;margin-top:295.65pt;width:45.3pt;height:37.75pt;z-index:251679232" filled="f" strokecolor="#0070c0" strokeweight="2pt"/>
        </w:pict>
      </w:r>
      <w:r w:rsidR="005D0A59">
        <w:rPr>
          <w:noProof/>
          <w:lang w:val="en-US"/>
        </w:rPr>
        <w:drawing>
          <wp:inline distT="0" distB="0" distL="0" distR="0">
            <wp:extent cx="5278755" cy="629119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lastRenderedPageBreak/>
        <w:t>Sustainable</w:t>
      </w:r>
      <w:r w:rsidRPr="00337872">
        <w:t xml:space="preserve"> growth </w:t>
      </w:r>
    </w:p>
    <w:p w:rsidR="004F26B8" w:rsidRDefault="0051108F" w:rsidP="00C00C96">
      <w:r>
        <w:rPr>
          <w:noProof/>
          <w:lang w:val="en-US"/>
        </w:rPr>
        <w:drawing>
          <wp:anchor distT="0" distB="0" distL="114300" distR="114300" simplePos="0" relativeHeight="251688448" behindDoc="1" locked="0" layoutInCell="1" allowOverlap="1">
            <wp:simplePos x="0" y="0"/>
            <wp:positionH relativeFrom="column">
              <wp:posOffset>-635</wp:posOffset>
            </wp:positionH>
            <wp:positionV relativeFrom="paragraph">
              <wp:posOffset>1331595</wp:posOffset>
            </wp:positionV>
            <wp:extent cx="5276850" cy="2980690"/>
            <wp:effectExtent l="19050" t="0" r="0" b="0"/>
            <wp:wrapTight wrapText="bothSides">
              <wp:wrapPolygon edited="0">
                <wp:start x="-78" y="0"/>
                <wp:lineTo x="-78" y="21398"/>
                <wp:lineTo x="21600" y="21398"/>
                <wp:lineTo x="21600" y="0"/>
                <wp:lineTo x="-78" y="0"/>
              </wp:wrapPolygon>
            </wp:wrapTight>
            <wp:docPr id="8" name="Bild 2" descr="P:\LU_2011_ESPON_TerrEvi_100269\03_Project development\WorkinProgress_FactSheets\TL_CBC2\CBC Programme Ellada - Bulgar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Ellada - Bulgaria 2.png"/>
                    <pic:cNvPicPr>
                      <a:picLocks noChangeAspect="1" noChangeArrowheads="1"/>
                    </pic:cNvPicPr>
                  </pic:nvPicPr>
                  <pic:blipFill>
                    <a:blip r:embed="rId17" cstate="print"/>
                    <a:srcRect/>
                    <a:stretch>
                      <a:fillRect/>
                    </a:stretch>
                  </pic:blipFill>
                  <pic:spPr bwMode="auto">
                    <a:xfrm>
                      <a:off x="0" y="0"/>
                      <a:ext cx="5276850" cy="2980690"/>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A57D5B">
        <w:t>In the framework of the Europe</w:t>
      </w:r>
      <w:r w:rsidR="00276DA6">
        <w:t xml:space="preserve"> 2020 Strategy it means </w:t>
      </w:r>
      <w:r w:rsidR="006D6890">
        <w:t>focus on competitiveness, resource efficiency, climate change and biodiversity</w:t>
      </w:r>
      <w:r w:rsidR="00276DA6">
        <w:t>.</w:t>
      </w:r>
    </w:p>
    <w:p w:rsidR="0051108F" w:rsidRDefault="0051108F" w:rsidP="00112060">
      <w:pPr>
        <w:spacing w:before="240"/>
      </w:pPr>
    </w:p>
    <w:p w:rsidR="00856EFD" w:rsidRPr="00827112" w:rsidRDefault="00B728C8" w:rsidP="00112060">
      <w:pPr>
        <w:spacing w:before="240"/>
      </w:pPr>
      <w:r w:rsidRPr="00827112">
        <w:t xml:space="preserve">The use of </w:t>
      </w:r>
      <w:r w:rsidR="001C4CA6" w:rsidRPr="00827112">
        <w:t xml:space="preserve">wind energy potential </w:t>
      </w:r>
      <w:r w:rsidR="002371D8">
        <w:t xml:space="preserve">could be </w:t>
      </w:r>
      <w:r w:rsidR="001C4CA6" w:rsidRPr="00827112">
        <w:t xml:space="preserve">one </w:t>
      </w:r>
      <w:r w:rsidR="00827112" w:rsidRPr="00827112">
        <w:t xml:space="preserve">of the </w:t>
      </w:r>
      <w:r w:rsidR="001C4CA6" w:rsidRPr="00827112">
        <w:t>cornerstone</w:t>
      </w:r>
      <w:r w:rsidR="00827112" w:rsidRPr="00827112">
        <w:t>s</w:t>
      </w:r>
      <w:r w:rsidR="001C4CA6" w:rsidRPr="00827112">
        <w:t xml:space="preserve"> in building a competitive low-carbon economy in the EU. The programme area as a whole shows a median value </w:t>
      </w:r>
      <w:r w:rsidR="00827112" w:rsidRPr="00827112">
        <w:t>that</w:t>
      </w:r>
      <w:r w:rsidR="001C4CA6" w:rsidRPr="00827112">
        <w:t xml:space="preserve"> is significantly lower than the EU 27+4 and all the CBC programme areas in Europe. The CBC area </w:t>
      </w:r>
      <w:r w:rsidR="00827112" w:rsidRPr="00827112">
        <w:t>shows</w:t>
      </w:r>
      <w:r w:rsidR="00D67AFE" w:rsidRPr="00827112">
        <w:t xml:space="preserve"> a</w:t>
      </w:r>
      <w:r w:rsidR="001C4CA6" w:rsidRPr="00827112">
        <w:t xml:space="preserve"> significantly lower </w:t>
      </w:r>
      <w:r w:rsidR="00D67AFE" w:rsidRPr="00827112">
        <w:t xml:space="preserve">value </w:t>
      </w:r>
      <w:r w:rsidR="00827112" w:rsidRPr="00827112">
        <w:t>than</w:t>
      </w:r>
      <w:r w:rsidR="001C4CA6" w:rsidRPr="00827112">
        <w:t xml:space="preserve"> the </w:t>
      </w:r>
      <w:r w:rsidR="00D67AFE" w:rsidRPr="00827112">
        <w:t xml:space="preserve">national level </w:t>
      </w:r>
      <w:r w:rsidR="009E0BD5">
        <w:t xml:space="preserve">of Bulgaria </w:t>
      </w:r>
      <w:r w:rsidR="00D67AFE" w:rsidRPr="00827112">
        <w:t xml:space="preserve">whereas </w:t>
      </w:r>
      <w:r w:rsidR="009E0BD5">
        <w:t>there is</w:t>
      </w:r>
      <w:r w:rsidR="00D67AFE" w:rsidRPr="00827112">
        <w:t xml:space="preserve"> a </w:t>
      </w:r>
      <w:r w:rsidR="001C4CA6" w:rsidRPr="00827112">
        <w:t>high</w:t>
      </w:r>
      <w:r w:rsidR="00D67AFE" w:rsidRPr="00827112">
        <w:t>er</w:t>
      </w:r>
      <w:r w:rsidR="001C4CA6" w:rsidRPr="00827112">
        <w:t xml:space="preserve"> potential in using this sustainable resource</w:t>
      </w:r>
      <w:r w:rsidR="00D67AFE" w:rsidRPr="00827112">
        <w:t xml:space="preserve"> </w:t>
      </w:r>
      <w:r w:rsidR="009E0BD5">
        <w:t>compared to the Greek national values</w:t>
      </w:r>
      <w:r w:rsidR="00D67AFE" w:rsidRPr="00827112">
        <w:t xml:space="preserve">. </w:t>
      </w:r>
      <w:r w:rsidR="002605E0">
        <w:t xml:space="preserve">The same picture exists for the CBC compared to the Greek national numbers regarding the ozone concentration. The programme area and Bulgaria are on a similar level. Both indicators show high disparities within the CBC area. </w:t>
      </w:r>
    </w:p>
    <w:p w:rsidR="001C4CA6" w:rsidRDefault="00D67AFE" w:rsidP="00C00C96">
      <w:r w:rsidRPr="00827112">
        <w:t xml:space="preserve">The </w:t>
      </w:r>
      <w:r w:rsidR="00A57D5B">
        <w:t xml:space="preserve">Greece – Bulgaria </w:t>
      </w:r>
      <w:r w:rsidR="00827112" w:rsidRPr="00827112">
        <w:t xml:space="preserve">programme is substantially </w:t>
      </w:r>
      <w:r w:rsidRPr="00827112">
        <w:t xml:space="preserve">vulnerable to potential climate change compared to the EU 27+4 and all </w:t>
      </w:r>
      <w:r w:rsidR="00827112" w:rsidRPr="00827112">
        <w:t xml:space="preserve">the </w:t>
      </w:r>
      <w:r w:rsidRPr="00827112">
        <w:t xml:space="preserve">CBC regions together. Also compared to the Greek and Bulgarian national levels the cooperation area </w:t>
      </w:r>
      <w:r w:rsidR="00827112" w:rsidRPr="00827112">
        <w:t>is highly</w:t>
      </w:r>
      <w:r w:rsidRPr="00827112">
        <w:t xml:space="preserve"> </w:t>
      </w:r>
      <w:r w:rsidR="00827112" w:rsidRPr="00827112">
        <w:t>vulnerable</w:t>
      </w:r>
      <w:r w:rsidRPr="00827112">
        <w:t xml:space="preserve">. </w:t>
      </w:r>
      <w:r w:rsidR="00AB243A" w:rsidRPr="00827112">
        <w:t>Both sides of the border in the CBC area are not affected by territorial impact of Directive 11 on fossil fuel consumption</w:t>
      </w:r>
      <w:r w:rsidR="00921D38" w:rsidRPr="00827112">
        <w:t xml:space="preserve"> </w:t>
      </w:r>
      <w:r w:rsidR="006D4D0B">
        <w:t xml:space="preserve">(MAP 2) </w:t>
      </w:r>
      <w:r w:rsidR="00921D38" w:rsidRPr="00827112">
        <w:t>and their combined adaptiv</w:t>
      </w:r>
      <w:r w:rsidR="009E0BD5">
        <w:t xml:space="preserve">e capacity to climate change </w:t>
      </w:r>
      <w:r w:rsidR="006D4D0B">
        <w:t xml:space="preserve">(BOX-PLOT 1) </w:t>
      </w:r>
      <w:r w:rsidR="00921D38" w:rsidRPr="00827112">
        <w:t>in general similar to the national level</w:t>
      </w:r>
      <w:r w:rsidR="009E0BD5">
        <w:t>s</w:t>
      </w:r>
      <w:r w:rsidR="00921D38" w:rsidRPr="00827112">
        <w:t xml:space="preserve">. </w:t>
      </w:r>
      <w:r w:rsidR="00921D38" w:rsidRPr="009E0BD5">
        <w:t xml:space="preserve">On </w:t>
      </w:r>
      <w:r w:rsidR="00827112" w:rsidRPr="009E0BD5">
        <w:t xml:space="preserve">the </w:t>
      </w:r>
      <w:r w:rsidR="00921D38" w:rsidRPr="009E0BD5">
        <w:t xml:space="preserve">Greek side the NUTS3 region of Thessaloniki and on Bulgarian side the NUTS3 region of Blagoevgrad show a </w:t>
      </w:r>
      <w:r w:rsidR="00827112" w:rsidRPr="009E0BD5">
        <w:t xml:space="preserve">high to </w:t>
      </w:r>
      <w:r w:rsidR="00921D38" w:rsidRPr="009E0BD5">
        <w:t>very high capacity compared to the respective national values.</w:t>
      </w:r>
      <w:r w:rsidR="00921D38">
        <w:t xml:space="preserve"> </w:t>
      </w:r>
    </w:p>
    <w:p w:rsidR="00041A22" w:rsidRDefault="00041A22">
      <w:pPr>
        <w:spacing w:after="0" w:line="240" w:lineRule="auto"/>
        <w:jc w:val="left"/>
      </w:pPr>
      <w: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A0696D">
        <w:rPr>
          <w:b/>
        </w:rPr>
        <w:t>Greece-Bulgaria</w:t>
      </w:r>
    </w:p>
    <w:p w:rsidR="00D26713" w:rsidRDefault="00D26713" w:rsidP="00D26713">
      <w:pPr>
        <w:spacing w:after="0" w:line="240" w:lineRule="auto"/>
        <w:rPr>
          <w:noProof/>
          <w:lang w:eastAsia="en-GB"/>
        </w:rPr>
      </w:pPr>
    </w:p>
    <w:p w:rsidR="00D26713" w:rsidRDefault="00303BAF" w:rsidP="00D26713">
      <w:pPr>
        <w:spacing w:after="0" w:line="240" w:lineRule="auto"/>
        <w:rPr>
          <w:noProof/>
          <w:lang w:eastAsia="en-GB"/>
        </w:rPr>
      </w:pPr>
      <w:r w:rsidRPr="00303BAF">
        <w:rPr>
          <w:noProof/>
          <w:lang w:val="de-DE" w:eastAsia="de-DE"/>
        </w:rPr>
        <w:pict>
          <v:oval id="_x0000_s1030" style="position:absolute;left:0;text-align:left;margin-left:282.55pt;margin-top:271.1pt;width:45.3pt;height:37.75pt;z-index:251680256" filled="f" strokecolor="#0070c0" strokeweight="2pt"/>
        </w:pict>
      </w:r>
      <w:r w:rsidR="005D0A59">
        <w:rPr>
          <w:noProof/>
          <w:lang w:val="en-US"/>
        </w:rPr>
        <w:drawing>
          <wp:inline distT="0" distB="0" distL="0" distR="0">
            <wp:extent cx="5278755" cy="581463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C33A99">
        <w:rPr>
          <w:b/>
        </w:rPr>
        <w:lastRenderedPageBreak/>
        <w:t>BOX</w:t>
      </w:r>
      <w:r w:rsidR="0054220D">
        <w:rPr>
          <w:b/>
        </w:rPr>
        <w:t>-</w:t>
      </w:r>
      <w:r w:rsidRPr="00C33A99">
        <w:rPr>
          <w:b/>
        </w:rPr>
        <w:t>PLOT</w:t>
      </w:r>
      <w:r w:rsidR="00016B50">
        <w:rPr>
          <w:b/>
        </w:rPr>
        <w:t xml:space="preserve"> 1 – </w:t>
      </w:r>
      <w:r w:rsidRPr="00C33A99">
        <w:rPr>
          <w:b/>
        </w:rPr>
        <w:t>Combined adaptive capacity to climate change (ESPON CLIMATE project)</w:t>
      </w:r>
      <w:r w:rsidR="002371D8">
        <w:rPr>
          <w:b/>
        </w:rPr>
        <w:t xml:space="preserve"> for the CBC </w:t>
      </w:r>
      <w:r w:rsidR="00A0696D">
        <w:rPr>
          <w:b/>
        </w:rPr>
        <w:t>Greece-Bulgaria</w:t>
      </w:r>
    </w:p>
    <w:p w:rsidR="00BC4B84" w:rsidRPr="00021CAB" w:rsidRDefault="00BC4B84" w:rsidP="00BC4B84">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B90698" w:rsidP="006E618B">
      <w:pPr>
        <w:spacing w:after="0" w:line="240" w:lineRule="auto"/>
        <w:rPr>
          <w:noProof/>
          <w:lang w:eastAsia="en-GB"/>
        </w:rPr>
      </w:pPr>
      <w:r>
        <w:rPr>
          <w:noProof/>
          <w:lang w:val="en-US"/>
        </w:rPr>
        <w:drawing>
          <wp:inline distT="0" distB="0" distL="0" distR="0">
            <wp:extent cx="5278755" cy="422680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680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lastRenderedPageBreak/>
        <w:t xml:space="preserve">Inclusive growth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2371D8" w:rsidRDefault="0051108F" w:rsidP="0051108F">
      <w:pPr>
        <w:rPr>
          <w:noProof/>
          <w:lang w:eastAsia="en-GB"/>
        </w:rPr>
      </w:pPr>
      <w:r>
        <w:rPr>
          <w:noProof/>
          <w:lang w:val="en-US"/>
        </w:rPr>
        <w:drawing>
          <wp:anchor distT="0" distB="0" distL="114300" distR="114300" simplePos="0" relativeHeight="251689472" behindDoc="1" locked="0" layoutInCell="1" allowOverlap="1">
            <wp:simplePos x="0" y="0"/>
            <wp:positionH relativeFrom="column">
              <wp:posOffset>17780</wp:posOffset>
            </wp:positionH>
            <wp:positionV relativeFrom="paragraph">
              <wp:posOffset>46355</wp:posOffset>
            </wp:positionV>
            <wp:extent cx="5276850" cy="2588260"/>
            <wp:effectExtent l="19050" t="0" r="0" b="0"/>
            <wp:wrapTight wrapText="bothSides">
              <wp:wrapPolygon edited="0">
                <wp:start x="-78" y="0"/>
                <wp:lineTo x="-78" y="21462"/>
                <wp:lineTo x="21600" y="21462"/>
                <wp:lineTo x="21600" y="0"/>
                <wp:lineTo x="-78" y="0"/>
              </wp:wrapPolygon>
            </wp:wrapTight>
            <wp:docPr id="9" name="Bild 3" descr="P:\LU_2011_ESPON_TerrEvi_100269\03_Project development\WorkinProgress_FactSheets\TL_CBC2\CBC Programme Ellada - Bulgar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Ellada - Bulgaria 3.png"/>
                    <pic:cNvPicPr>
                      <a:picLocks noChangeAspect="1" noChangeArrowheads="1"/>
                    </pic:cNvPicPr>
                  </pic:nvPicPr>
                  <pic:blipFill>
                    <a:blip r:embed="rId20" cstate="print"/>
                    <a:srcRect/>
                    <a:stretch>
                      <a:fillRect/>
                    </a:stretch>
                  </pic:blipFill>
                  <pic:spPr bwMode="auto">
                    <a:xfrm>
                      <a:off x="0" y="0"/>
                      <a:ext cx="5276850" cy="2588260"/>
                    </a:xfrm>
                    <a:prstGeom prst="rect">
                      <a:avLst/>
                    </a:prstGeom>
                    <a:noFill/>
                    <a:ln w="9525">
                      <a:noFill/>
                      <a:miter lim="800000"/>
                      <a:headEnd/>
                      <a:tailEnd/>
                    </a:ln>
                  </pic:spPr>
                </pic:pic>
              </a:graphicData>
            </a:graphic>
          </wp:anchor>
        </w:drawing>
      </w:r>
      <w:r w:rsidR="002371D8">
        <w:rPr>
          <w:noProof/>
          <w:lang w:eastAsia="en-GB"/>
        </w:rPr>
        <w:t xml:space="preserve">The CBC area of </w:t>
      </w:r>
      <w:r w:rsidR="00A57D5B">
        <w:t xml:space="preserve">Greece – Bulgaria </w:t>
      </w:r>
      <w:r w:rsidR="007172A4" w:rsidRPr="00827112">
        <w:rPr>
          <w:noProof/>
          <w:lang w:eastAsia="en-GB"/>
        </w:rPr>
        <w:t xml:space="preserve">in general shows significantly higher values in </w:t>
      </w:r>
      <w:r w:rsidR="00827112" w:rsidRPr="00827112">
        <w:rPr>
          <w:noProof/>
          <w:lang w:eastAsia="en-GB"/>
        </w:rPr>
        <w:t xml:space="preserve">the </w:t>
      </w:r>
      <w:r w:rsidR="007172A4" w:rsidRPr="00827112">
        <w:rPr>
          <w:noProof/>
          <w:lang w:eastAsia="en-GB"/>
        </w:rPr>
        <w:t>case of long-term unemployed persons and persons at risk of poverty compared to the EU27+4 and the other CBC regions in Europe. Exeptional cases are the long-term unemployment rate of the CBC area compared to the Greek national level</w:t>
      </w:r>
      <w:r w:rsidR="00F519FB" w:rsidRPr="00827112">
        <w:rPr>
          <w:noProof/>
          <w:lang w:eastAsia="en-GB"/>
        </w:rPr>
        <w:t xml:space="preserve"> and persons </w:t>
      </w:r>
      <w:r w:rsidR="00827112" w:rsidRPr="00827112">
        <w:rPr>
          <w:noProof/>
          <w:lang w:eastAsia="en-GB"/>
        </w:rPr>
        <w:t xml:space="preserve">who are </w:t>
      </w:r>
      <w:r w:rsidR="00F519FB" w:rsidRPr="00827112">
        <w:rPr>
          <w:noProof/>
          <w:lang w:eastAsia="en-GB"/>
        </w:rPr>
        <w:t xml:space="preserve">at risk of poverty in </w:t>
      </w:r>
      <w:r w:rsidR="00A57D5B">
        <w:t xml:space="preserve">Greece – Bulgaria </w:t>
      </w:r>
      <w:r w:rsidR="00827112" w:rsidRPr="00827112">
        <w:rPr>
          <w:noProof/>
          <w:lang w:eastAsia="en-GB"/>
        </w:rPr>
        <w:t>compared to</w:t>
      </w:r>
      <w:r w:rsidR="00F519FB" w:rsidRPr="00827112">
        <w:rPr>
          <w:noProof/>
          <w:lang w:eastAsia="en-GB"/>
        </w:rPr>
        <w:t xml:space="preserve"> the Bulgarian national value. Looking at the employment rates </w:t>
      </w:r>
      <w:r w:rsidR="00BC1396">
        <w:rPr>
          <w:noProof/>
          <w:lang w:eastAsia="en-GB"/>
        </w:rPr>
        <w:t xml:space="preserve">(BOX-PLOT </w:t>
      </w:r>
      <w:r w:rsidR="006D4D0B">
        <w:rPr>
          <w:noProof/>
          <w:lang w:eastAsia="en-GB"/>
        </w:rPr>
        <w:t xml:space="preserve">2) </w:t>
      </w:r>
      <w:r w:rsidR="00F519FB" w:rsidRPr="00827112">
        <w:rPr>
          <w:noProof/>
          <w:lang w:eastAsia="en-GB"/>
        </w:rPr>
        <w:t>in the programme area compared to the EU27+4 and the CBC areas as a whole</w:t>
      </w:r>
      <w:r w:rsidR="00827112" w:rsidRPr="00827112">
        <w:rPr>
          <w:noProof/>
          <w:lang w:eastAsia="en-GB"/>
        </w:rPr>
        <w:t>,</w:t>
      </w:r>
      <w:r w:rsidR="00F519FB" w:rsidRPr="00827112">
        <w:rPr>
          <w:noProof/>
          <w:lang w:eastAsia="en-GB"/>
        </w:rPr>
        <w:t xml:space="preserve"> </w:t>
      </w:r>
      <w:r w:rsidR="00827112" w:rsidRPr="00827112">
        <w:rPr>
          <w:noProof/>
          <w:lang w:eastAsia="en-GB"/>
        </w:rPr>
        <w:t xml:space="preserve">the majority of NUTS3 regions in </w:t>
      </w:r>
      <w:r w:rsidR="00A57D5B">
        <w:t xml:space="preserve">Greece – Bulgaria </w:t>
      </w:r>
      <w:r w:rsidR="00827112" w:rsidRPr="00827112">
        <w:rPr>
          <w:noProof/>
          <w:lang w:eastAsia="en-GB"/>
        </w:rPr>
        <w:t>have</w:t>
      </w:r>
      <w:r w:rsidR="0069219F" w:rsidRPr="00827112">
        <w:rPr>
          <w:noProof/>
          <w:lang w:eastAsia="en-GB"/>
        </w:rPr>
        <w:t xml:space="preserve"> a lower employment rate. Also</w:t>
      </w:r>
      <w:r w:rsidR="00827112" w:rsidRPr="00827112">
        <w:rPr>
          <w:noProof/>
          <w:lang w:eastAsia="en-GB"/>
        </w:rPr>
        <w:t>,</w:t>
      </w:r>
      <w:r w:rsidR="0069219F" w:rsidRPr="00827112">
        <w:rPr>
          <w:noProof/>
          <w:lang w:eastAsia="en-GB"/>
        </w:rPr>
        <w:t xml:space="preserve"> compared to the national levels in Greece and Bulgaria most of the NUTS3 regions of the CBC area </w:t>
      </w:r>
      <w:r w:rsidR="00827112" w:rsidRPr="00827112">
        <w:rPr>
          <w:noProof/>
          <w:lang w:eastAsia="en-GB"/>
        </w:rPr>
        <w:t>count</w:t>
      </w:r>
      <w:r w:rsidR="0069219F" w:rsidRPr="00827112">
        <w:rPr>
          <w:noProof/>
          <w:lang w:eastAsia="en-GB"/>
        </w:rPr>
        <w:t xml:space="preserve"> less employed persons than the two countries </w:t>
      </w:r>
      <w:r w:rsidR="00827112" w:rsidRPr="00827112">
        <w:rPr>
          <w:noProof/>
          <w:lang w:eastAsia="en-GB"/>
        </w:rPr>
        <w:t>altogether</w:t>
      </w:r>
      <w:r w:rsidR="0069219F" w:rsidRPr="00827112">
        <w:rPr>
          <w:noProof/>
          <w:lang w:eastAsia="en-GB"/>
        </w:rPr>
        <w:t>. The</w:t>
      </w:r>
      <w:r w:rsidR="00827112" w:rsidRPr="00827112">
        <w:rPr>
          <w:noProof/>
          <w:lang w:eastAsia="en-GB"/>
        </w:rPr>
        <w:t xml:space="preserve"> Bulgarian region of Blagoevgra</w:t>
      </w:r>
      <w:r w:rsidR="009E0BD5">
        <w:rPr>
          <w:noProof/>
          <w:lang w:eastAsia="en-GB"/>
        </w:rPr>
        <w:t>d</w:t>
      </w:r>
      <w:r w:rsidR="00827112" w:rsidRPr="00827112">
        <w:rPr>
          <w:noProof/>
          <w:lang w:eastAsia="en-GB"/>
        </w:rPr>
        <w:t xml:space="preserve"> has an</w:t>
      </w:r>
      <w:r w:rsidR="0069219F" w:rsidRPr="00827112">
        <w:rPr>
          <w:noProof/>
          <w:lang w:eastAsia="en-GB"/>
        </w:rPr>
        <w:t xml:space="preserve"> employment rate </w:t>
      </w:r>
      <w:r w:rsidR="00827112" w:rsidRPr="00827112">
        <w:rPr>
          <w:noProof/>
          <w:lang w:eastAsia="en-GB"/>
        </w:rPr>
        <w:t xml:space="preserve">that is </w:t>
      </w:r>
      <w:r w:rsidR="0069219F" w:rsidRPr="00827112">
        <w:rPr>
          <w:noProof/>
          <w:lang w:eastAsia="en-GB"/>
        </w:rPr>
        <w:t>higher tha</w:t>
      </w:r>
      <w:r w:rsidR="00827112" w:rsidRPr="00827112">
        <w:rPr>
          <w:noProof/>
          <w:lang w:eastAsia="en-GB"/>
        </w:rPr>
        <w:t xml:space="preserve">n all the </w:t>
      </w:r>
      <w:r w:rsidR="002371D8">
        <w:rPr>
          <w:noProof/>
          <w:lang w:eastAsia="en-GB"/>
        </w:rPr>
        <w:t>other NUTS3 regions of the CBC area</w:t>
      </w:r>
      <w:r w:rsidR="00827112" w:rsidRPr="00827112">
        <w:rPr>
          <w:noProof/>
          <w:lang w:eastAsia="en-GB"/>
        </w:rPr>
        <w:t xml:space="preserve">. </w:t>
      </w:r>
    </w:p>
    <w:p w:rsidR="00F519FB" w:rsidRDefault="00C675CC" w:rsidP="00B135A2">
      <w:pPr>
        <w:spacing w:after="0" w:line="240" w:lineRule="auto"/>
        <w:rPr>
          <w:noProof/>
          <w:lang w:eastAsia="en-GB"/>
        </w:rPr>
      </w:pPr>
      <w:r w:rsidRPr="00827112">
        <w:rPr>
          <w:noProof/>
          <w:lang w:eastAsia="en-GB"/>
        </w:rPr>
        <w:t>Analysing the different scenarios highlighted in the ESPON DEMIFER project</w:t>
      </w:r>
      <w:r w:rsidR="00BC1396">
        <w:rPr>
          <w:noProof/>
          <w:lang w:eastAsia="en-GB"/>
        </w:rPr>
        <w:t xml:space="preserve"> (MAP 3) </w:t>
      </w:r>
      <w:r w:rsidRPr="00827112">
        <w:rPr>
          <w:noProof/>
          <w:lang w:eastAsia="en-GB"/>
        </w:rPr>
        <w:t>regarding the change in labour force until 2050</w:t>
      </w:r>
      <w:r w:rsidR="00827112" w:rsidRPr="00827112">
        <w:rPr>
          <w:noProof/>
          <w:lang w:eastAsia="en-GB"/>
        </w:rPr>
        <w:t>,</w:t>
      </w:r>
      <w:r w:rsidRPr="00827112">
        <w:rPr>
          <w:noProof/>
          <w:lang w:eastAsia="en-GB"/>
        </w:rPr>
        <w:t xml:space="preserve"> it can be stated </w:t>
      </w:r>
      <w:r w:rsidR="00827112" w:rsidRPr="00827112">
        <w:rPr>
          <w:noProof/>
          <w:lang w:eastAsia="en-GB"/>
        </w:rPr>
        <w:t>that the situation differes between t</w:t>
      </w:r>
      <w:r w:rsidRPr="00827112">
        <w:rPr>
          <w:noProof/>
          <w:lang w:eastAsia="en-GB"/>
        </w:rPr>
        <w:t xml:space="preserve">he Greek and the Bulgarian part of the cooperation area. Whatever scenario </w:t>
      </w:r>
      <w:r w:rsidR="00827112" w:rsidRPr="00827112">
        <w:rPr>
          <w:noProof/>
          <w:lang w:eastAsia="en-GB"/>
        </w:rPr>
        <w:t>will take place,</w:t>
      </w:r>
      <w:r w:rsidRPr="00827112">
        <w:rPr>
          <w:noProof/>
          <w:lang w:eastAsia="en-GB"/>
        </w:rPr>
        <w:t xml:space="preserve"> there are significantly negative changes on the Bulgarian side of the border</w:t>
      </w:r>
      <w:r w:rsidR="002371D8">
        <w:rPr>
          <w:noProof/>
          <w:lang w:eastAsia="en-GB"/>
        </w:rPr>
        <w:t xml:space="preserve">. The Greek part of </w:t>
      </w:r>
      <w:r w:rsidR="00A57D5B">
        <w:t xml:space="preserve">Greece – Bulgaria </w:t>
      </w:r>
      <w:r w:rsidR="00C77D2A" w:rsidRPr="00827112">
        <w:rPr>
          <w:noProof/>
          <w:lang w:eastAsia="en-GB"/>
        </w:rPr>
        <w:t xml:space="preserve">shows </w:t>
      </w:r>
      <w:r w:rsidR="00827112" w:rsidRPr="00827112">
        <w:rPr>
          <w:noProof/>
          <w:lang w:eastAsia="en-GB"/>
        </w:rPr>
        <w:t xml:space="preserve">positive effects in the case of the change in labour force </w:t>
      </w:r>
      <w:r w:rsidR="00C77D2A" w:rsidRPr="00827112">
        <w:rPr>
          <w:noProof/>
          <w:lang w:eastAsia="en-GB"/>
        </w:rPr>
        <w:t xml:space="preserve">in three out of four scenarios. </w:t>
      </w:r>
      <w:r w:rsidR="00827112" w:rsidRPr="00827112">
        <w:rPr>
          <w:noProof/>
          <w:lang w:eastAsia="en-GB"/>
        </w:rPr>
        <w:t>Only</w:t>
      </w:r>
      <w:r w:rsidR="00BB7570" w:rsidRPr="00827112">
        <w:rPr>
          <w:noProof/>
          <w:lang w:eastAsia="en-GB"/>
        </w:rPr>
        <w:t xml:space="preserve"> in </w:t>
      </w:r>
      <w:r w:rsidR="00827112" w:rsidRPr="00827112">
        <w:rPr>
          <w:noProof/>
          <w:lang w:eastAsia="en-GB"/>
        </w:rPr>
        <w:t>the</w:t>
      </w:r>
      <w:r w:rsidR="00BB7570" w:rsidRPr="00827112">
        <w:rPr>
          <w:noProof/>
          <w:lang w:eastAsia="en-GB"/>
        </w:rPr>
        <w:t xml:space="preserve"> s</w:t>
      </w:r>
      <w:r w:rsidR="00827112" w:rsidRPr="00827112">
        <w:rPr>
          <w:noProof/>
          <w:lang w:eastAsia="en-GB"/>
        </w:rPr>
        <w:t xml:space="preserve">cenario “Limited Social Europe”, a slightly negative impact on </w:t>
      </w:r>
      <w:r w:rsidR="00BB7570" w:rsidRPr="00827112">
        <w:rPr>
          <w:noProof/>
          <w:lang w:eastAsia="en-GB"/>
        </w:rPr>
        <w:t xml:space="preserve">the greek side has to be </w:t>
      </w:r>
      <w:r w:rsidR="00827112" w:rsidRPr="00827112">
        <w:rPr>
          <w:noProof/>
          <w:lang w:eastAsia="en-GB"/>
        </w:rPr>
        <w:t>considered a possibility</w:t>
      </w:r>
      <w:r w:rsidR="00BB7570" w:rsidRPr="00827112">
        <w:rPr>
          <w:noProof/>
          <w:lang w:eastAsia="en-GB"/>
        </w:rPr>
        <w:t>.</w:t>
      </w:r>
      <w:r w:rsidR="00BB7570">
        <w:rPr>
          <w:noProof/>
          <w:lang w:eastAsia="en-GB"/>
        </w:rPr>
        <w:t xml:space="preserve"> </w:t>
      </w:r>
    </w:p>
    <w:p w:rsidR="00104631" w:rsidRDefault="00104631">
      <w:pPr>
        <w:spacing w:after="0" w:line="240" w:lineRule="auto"/>
        <w:jc w:val="left"/>
        <w:rPr>
          <w:noProof/>
          <w:lang w:eastAsia="en-GB"/>
        </w:rPr>
      </w:pPr>
      <w:r>
        <w:rPr>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A0696D">
        <w:rPr>
          <w:b/>
        </w:rPr>
        <w:t>Greece-Bulgaria</w:t>
      </w:r>
    </w:p>
    <w:p w:rsidR="0089569C" w:rsidRDefault="0089569C" w:rsidP="0089569C">
      <w:pPr>
        <w:spacing w:after="0" w:line="240" w:lineRule="auto"/>
        <w:rPr>
          <w:noProof/>
          <w:lang w:eastAsia="en-GB"/>
        </w:rPr>
      </w:pPr>
    </w:p>
    <w:p w:rsidR="0089569C" w:rsidRDefault="00303BAF" w:rsidP="0089569C">
      <w:pPr>
        <w:spacing w:after="0" w:line="240" w:lineRule="auto"/>
        <w:rPr>
          <w:noProof/>
          <w:lang w:eastAsia="en-GB"/>
        </w:rPr>
      </w:pPr>
      <w:r w:rsidRPr="00303BAF">
        <w:rPr>
          <w:noProof/>
          <w:lang w:val="de-DE" w:eastAsia="de-DE"/>
        </w:rPr>
        <w:pict>
          <v:oval id="_x0000_s1034" style="position:absolute;left:0;text-align:left;margin-left:347.35pt;margin-top:365.5pt;width:23.25pt;height:19.35pt;z-index:251684352" filled="f" strokecolor="#0070c0" strokeweight="1.5pt"/>
        </w:pict>
      </w:r>
      <w:r w:rsidRPr="00303BAF">
        <w:rPr>
          <w:noProof/>
          <w:lang w:val="de-DE" w:eastAsia="de-DE"/>
        </w:rPr>
        <w:pict>
          <v:oval id="_x0000_s1033" style="position:absolute;left:0;text-align:left;margin-left:147.2pt;margin-top:365.5pt;width:23.25pt;height:19.35pt;z-index:251683328" filled="f" strokecolor="#0070c0" strokeweight="1.5pt"/>
        </w:pict>
      </w:r>
      <w:r w:rsidRPr="00303BAF">
        <w:rPr>
          <w:noProof/>
          <w:lang w:val="de-DE" w:eastAsia="de-DE"/>
        </w:rPr>
        <w:pict>
          <v:oval id="_x0000_s1032" style="position:absolute;left:0;text-align:left;margin-left:347.35pt;margin-top:160.25pt;width:23.25pt;height:19.35pt;z-index:251682304" filled="f" strokecolor="#0070c0" strokeweight="1.5pt"/>
        </w:pict>
      </w:r>
      <w:r w:rsidRPr="00303BAF">
        <w:rPr>
          <w:noProof/>
          <w:lang w:val="de-DE" w:eastAsia="de-DE"/>
        </w:rPr>
        <w:pict>
          <v:oval id="_x0000_s1031" style="position:absolute;left:0;text-align:left;margin-left:147.2pt;margin-top:160.25pt;width:23.25pt;height:19.35pt;z-index:251681280" filled="f" strokecolor="#0070c0" strokeweight="1.5pt"/>
        </w:pict>
      </w:r>
      <w:r w:rsidR="004E3D0B">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C33A99">
        <w:rPr>
          <w:b/>
        </w:rPr>
        <w:lastRenderedPageBreak/>
        <w:t>BOX</w:t>
      </w:r>
      <w:r w:rsidR="0054220D">
        <w:rPr>
          <w:b/>
        </w:rPr>
        <w:t>-</w:t>
      </w:r>
      <w:r w:rsidRPr="00C33A99">
        <w:rPr>
          <w:b/>
        </w:rPr>
        <w:t>PLOT</w:t>
      </w:r>
      <w:r w:rsidR="00016B50">
        <w:rPr>
          <w:b/>
        </w:rPr>
        <w:t xml:space="preserve"> 2</w:t>
      </w:r>
      <w:r w:rsidRPr="00C33A99">
        <w:rPr>
          <w:b/>
        </w:rPr>
        <w:t xml:space="preserve"> – Employment rate 2010</w:t>
      </w:r>
      <w:r w:rsidR="002371D8">
        <w:rPr>
          <w:b/>
        </w:rPr>
        <w:t xml:space="preserve"> within the CBC </w:t>
      </w:r>
      <w:r w:rsidR="00A0696D">
        <w:rPr>
          <w:b/>
        </w:rPr>
        <w:t>Greece-Bulgaria</w:t>
      </w:r>
    </w:p>
    <w:p w:rsidR="00FD4E3A" w:rsidRDefault="00136335" w:rsidP="00FD4E3A">
      <w:pPr>
        <w:spacing w:after="0" w:line="240" w:lineRule="auto"/>
        <w:jc w:val="left"/>
        <w:rPr>
          <w:noProof/>
          <w:lang w:eastAsia="en-GB"/>
        </w:rPr>
      </w:pPr>
      <w:r>
        <w:rPr>
          <w:noProof/>
          <w:lang w:val="en-US"/>
        </w:rPr>
        <w:drawing>
          <wp:inline distT="0" distB="0" distL="0" distR="0">
            <wp:extent cx="5278755" cy="4220469"/>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to read the box-plots?” on page 7)</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Default="005761A6" w:rsidP="005761A6">
      <w:pPr>
        <w:pStyle w:val="Heading1"/>
      </w:pPr>
      <w:r w:rsidRPr="0019394E">
        <w:lastRenderedPageBreak/>
        <w:t xml:space="preserve">Territorial factors of interest for the programme area </w:t>
      </w:r>
    </w:p>
    <w:p w:rsidR="009B2BE6" w:rsidRDefault="009B2BE6" w:rsidP="009B2BE6">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B2BE6" w:rsidRDefault="009B2BE6" w:rsidP="009B2BE6">
      <w:r>
        <w:rPr>
          <w:rFonts w:cs="Calibri"/>
          <w:szCs w:val="20"/>
          <w:lang w:eastAsia="fr-FR"/>
        </w:rPr>
        <w:t>For the programme area ESPON TERCO is of particular interest. It comprises</w:t>
      </w:r>
      <w:r>
        <w:t xml:space="preserve"> a case study focusing on a border region concerning some parts of Bulgaria, Greece and Turkey, including the programme area </w:t>
      </w:r>
      <w:r w:rsidR="00A57D5B">
        <w:t>Greece – Bulgaria</w:t>
      </w:r>
      <w:r>
        <w:t xml:space="preserve">. The full case study including a lot of detailed analysis of the area and cooperation activities in the area is available in the annex to the (Draft) Final Report of the TERCO project. The below box provides only a short extract from the case study summary. </w:t>
      </w:r>
    </w:p>
    <w:p w:rsidR="009B2BE6" w:rsidRPr="008211BF" w:rsidRDefault="009B2BE6" w:rsidP="009B2BE6">
      <w:pPr>
        <w:shd w:val="clear" w:color="auto" w:fill="D9D9D9" w:themeFill="background1" w:themeFillShade="D9"/>
        <w:jc w:val="left"/>
        <w:rPr>
          <w:rFonts w:cs="Calibri"/>
          <w:sz w:val="18"/>
          <w:szCs w:val="20"/>
          <w:lang w:eastAsia="fr-FR"/>
        </w:rPr>
      </w:pPr>
      <w:r w:rsidRPr="00637C5D">
        <w:rPr>
          <w:rFonts w:cs="Calibri"/>
          <w:sz w:val="18"/>
          <w:szCs w:val="20"/>
          <w:lang w:eastAsia="fr-FR"/>
        </w:rPr>
        <w:t>ESPON TERCO PROJECT – ANNEX TO THE DRAFT FINAL REPORT, PAGE 569:</w:t>
      </w:r>
      <w:r w:rsidRPr="00637C5D">
        <w:rPr>
          <w:rFonts w:cs="Calibri"/>
          <w:sz w:val="18"/>
          <w:szCs w:val="20"/>
          <w:lang w:eastAsia="fr-FR"/>
        </w:rPr>
        <w:br/>
        <w:t xml:space="preserve">Territorial structures and specific border co-operation </w:t>
      </w:r>
    </w:p>
    <w:p w:rsidR="009B2BE6" w:rsidRPr="008211BF" w:rsidRDefault="009B2BE6" w:rsidP="009B2BE6">
      <w:pPr>
        <w:shd w:val="clear" w:color="auto" w:fill="D9D9D9" w:themeFill="background1" w:themeFillShade="D9"/>
        <w:rPr>
          <w:rFonts w:cs="Calibri"/>
          <w:sz w:val="18"/>
          <w:szCs w:val="20"/>
          <w:lang w:eastAsia="fr-FR"/>
        </w:rPr>
      </w:pPr>
      <w:r w:rsidRPr="00637C5D">
        <w:rPr>
          <w:rFonts w:cs="Calibri"/>
          <w:sz w:val="18"/>
          <w:szCs w:val="20"/>
          <w:lang w:eastAsia="fr-FR"/>
        </w:rPr>
        <w:t>Strengths: The protected areas (e.g. NATURA 2000 network), the river basins (e.g. Evros or Nestos), the Sea basin (e.g. Black Sea) and the major transport networks (e.g. Egnatia motorway or EU-Corridors) appear to be the most desirable territorial structures. The evidence suggests that the local actors are more effective in overcoming antagonistic interests at international level, functioning in a more pragmatic manner. The interaction between the actors of the participating countries has been intensified in several fields at institutional level over the last years.</w:t>
      </w:r>
    </w:p>
    <w:p w:rsidR="009B2BE6" w:rsidRPr="008211BF" w:rsidRDefault="009B2BE6" w:rsidP="009B2BE6">
      <w:pPr>
        <w:shd w:val="clear" w:color="auto" w:fill="D9D9D9" w:themeFill="background1" w:themeFillShade="D9"/>
        <w:rPr>
          <w:rFonts w:cs="Calibri"/>
          <w:sz w:val="18"/>
          <w:szCs w:val="20"/>
          <w:lang w:eastAsia="fr-FR"/>
        </w:rPr>
      </w:pPr>
      <w:r w:rsidRPr="00637C5D">
        <w:rPr>
          <w:rFonts w:cs="Calibri"/>
          <w:sz w:val="18"/>
          <w:szCs w:val="20"/>
          <w:lang w:eastAsia="fr-FR"/>
        </w:rPr>
        <w:t>Weaknesses: Usually the ITC actions stop at the moment the project ends, with small follow-up value added and with no further perspective. Despite the fact that cooperation has been intensified, so far these ITC initiatives haven‘t resulted in joint actions or common strategies. ITC does not seem to have a clear impact on ―external</w:t>
      </w:r>
      <w:r w:rsidRPr="00637C5D">
        <w:rPr>
          <w:rFonts w:ascii="Times New Roman" w:hAnsi="Times New Roman" w:cs="Calibri"/>
          <w:sz w:val="18"/>
          <w:szCs w:val="20"/>
          <w:lang w:eastAsia="fr-FR"/>
        </w:rPr>
        <w:t>‖</w:t>
      </w:r>
      <w:r w:rsidRPr="00637C5D">
        <w:rPr>
          <w:rFonts w:cs="Calibri"/>
          <w:sz w:val="18"/>
          <w:szCs w:val="20"/>
          <w:lang w:eastAsia="fr-FR"/>
        </w:rPr>
        <w:t xml:space="preserve"> relations since the emphasis of State agencies of ―national interests</w:t>
      </w:r>
      <w:r w:rsidRPr="00637C5D">
        <w:rPr>
          <w:rFonts w:ascii="Times New Roman" w:hAnsi="Times New Roman" w:cs="Calibri"/>
          <w:sz w:val="18"/>
          <w:szCs w:val="20"/>
          <w:lang w:eastAsia="fr-FR"/>
        </w:rPr>
        <w:t>‖</w:t>
      </w:r>
      <w:r w:rsidRPr="00637C5D">
        <w:rPr>
          <w:rFonts w:cs="Calibri"/>
          <w:sz w:val="18"/>
          <w:szCs w:val="20"/>
          <w:lang w:eastAsia="fr-FR"/>
        </w:rPr>
        <w:t xml:space="preserve"> eliminates the local actors‘ flexibility. Moreover, influential ―external</w:t>
      </w:r>
      <w:r w:rsidRPr="00637C5D">
        <w:rPr>
          <w:rFonts w:ascii="Times New Roman" w:hAnsi="Times New Roman" w:cs="Calibri"/>
          <w:sz w:val="18"/>
          <w:szCs w:val="20"/>
          <w:lang w:eastAsia="fr-FR"/>
        </w:rPr>
        <w:t>‖</w:t>
      </w:r>
      <w:r w:rsidRPr="00637C5D">
        <w:rPr>
          <w:rFonts w:cs="Calibri"/>
          <w:sz w:val="18"/>
          <w:szCs w:val="20"/>
          <w:lang w:eastAsia="fr-FR"/>
        </w:rPr>
        <w:t xml:space="preserve"> relations are very limited because most of the ITC projects are designed and prepared by consultants without a ―real</w:t>
      </w:r>
      <w:r w:rsidRPr="00637C5D">
        <w:rPr>
          <w:rFonts w:ascii="Times New Roman" w:hAnsi="Times New Roman" w:cs="Calibri"/>
          <w:sz w:val="18"/>
          <w:szCs w:val="20"/>
          <w:lang w:eastAsia="fr-FR"/>
        </w:rPr>
        <w:t>‖</w:t>
      </w:r>
      <w:r w:rsidRPr="00637C5D">
        <w:rPr>
          <w:rFonts w:cs="Calibri"/>
          <w:sz w:val="18"/>
          <w:szCs w:val="20"/>
          <w:lang w:eastAsia="fr-FR"/>
        </w:rPr>
        <w:t xml:space="preserve"> involvement of the local governments‘ staff.</w:t>
      </w:r>
    </w:p>
    <w:p w:rsidR="009B2BE6" w:rsidRPr="00A0472D" w:rsidRDefault="009B2BE6" w:rsidP="009B2BE6">
      <w:pPr>
        <w:shd w:val="clear" w:color="auto" w:fill="D9D9D9" w:themeFill="background1" w:themeFillShade="D9"/>
        <w:rPr>
          <w:rFonts w:cs="Calibri"/>
          <w:szCs w:val="20"/>
          <w:lang w:eastAsia="fr-FR"/>
        </w:rPr>
      </w:pPr>
      <w:r w:rsidRPr="00637C5D">
        <w:rPr>
          <w:rFonts w:cs="Calibri"/>
          <w:sz w:val="18"/>
          <w:szCs w:val="20"/>
          <w:lang w:eastAsia="fr-FR"/>
        </w:rPr>
        <w:t>Future: The critical question is how all the ITC initiatives can create stable synergies and networks with a long-term perspective. The procedures for participating and implementing an ITC project should be simplified. Capacity building actions for local institutions, consultancy of government and an efficient top-down communication and dissemination strategy could increase the competitiveness of the cooperating regions. The main challenge for the ITC in the future is to create common approaches for all the domains, adapted to the needs and characteristics of each area.</w:t>
      </w:r>
    </w:p>
    <w:p w:rsidR="009B2BE6" w:rsidRDefault="009B2BE6" w:rsidP="009B2BE6">
      <w:r>
        <w:t xml:space="preserve">In a European perspective the programme area is mainly composed by predominately rural remote regions (see map below). Thessaloniki is the urban exception, and it even acts as European gateway with a global profile related to its port. Apart from Thessaloniki </w:t>
      </w:r>
      <w:r w:rsidR="00FF56E3">
        <w:t xml:space="preserve">the programme area is </w:t>
      </w:r>
      <w:r w:rsidR="00FF56E3" w:rsidRPr="00FF56E3">
        <w:t xml:space="preserve">not so strong on large and </w:t>
      </w:r>
      <w:r w:rsidR="00FF56E3">
        <w:t xml:space="preserve">medium-sized cities, but with a, in a European perspective, </w:t>
      </w:r>
      <w:r w:rsidR="00FF56E3" w:rsidRPr="00FF56E3">
        <w:t xml:space="preserve">wide-spread network of </w:t>
      </w:r>
      <w:r>
        <w:t>sparsely populated and/or mountainous</w:t>
      </w:r>
      <w:r w:rsidR="00FF56E3">
        <w:t xml:space="preserve"> areas</w:t>
      </w:r>
      <w:r>
        <w:t xml:space="preserve">. </w:t>
      </w:r>
    </w:p>
    <w:p w:rsidR="009B2BE6" w:rsidRDefault="009B2BE6" w:rsidP="009B2BE6">
      <w:r>
        <w:t xml:space="preserve">This goes together with challenges related to infrastructure and access to services. Again apart from Thessaloniki, the programme area offers no possibilities for one-day business trips within the European urban system. Overall, the European multi-modal accessibility of the programme area is below the average for EU27+4. Indeed, even Thessaloniki shows a comparably low international accessibility as shown in the below map. Considering the access to internet and the Information Society the picture is similar. </w:t>
      </w: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A0696D">
        <w:rPr>
          <w:b/>
        </w:rPr>
        <w:t>Greece-Bulgaria</w:t>
      </w:r>
    </w:p>
    <w:p w:rsidR="0089569C" w:rsidRDefault="0089569C" w:rsidP="0089569C">
      <w:pPr>
        <w:spacing w:after="0" w:line="240" w:lineRule="auto"/>
        <w:jc w:val="left"/>
        <w:rPr>
          <w:noProof/>
          <w:lang w:eastAsia="en-GB"/>
        </w:rPr>
      </w:pPr>
    </w:p>
    <w:p w:rsidR="0089569C" w:rsidRDefault="00303BAF" w:rsidP="0089569C">
      <w:pPr>
        <w:spacing w:after="0" w:line="240" w:lineRule="auto"/>
        <w:jc w:val="left"/>
        <w:rPr>
          <w:noProof/>
          <w:lang w:eastAsia="en-GB"/>
        </w:rPr>
      </w:pPr>
      <w:r w:rsidRPr="00303BAF">
        <w:rPr>
          <w:noProof/>
          <w:lang w:val="de-DE" w:eastAsia="de-DE"/>
        </w:rPr>
        <w:pict>
          <v:oval id="_x0000_s1035" style="position:absolute;margin-left:285.65pt;margin-top:307.4pt;width:34pt;height:28.3pt;z-index:251685376" filled="f" strokecolor="#0070c0" strokeweight="2pt"/>
        </w:pict>
      </w:r>
      <w:r w:rsidR="005D0A59">
        <w:rPr>
          <w:noProof/>
          <w:lang w:val="en-US"/>
        </w:rPr>
        <w:drawing>
          <wp:inline distT="0" distB="0" distL="0" distR="0">
            <wp:extent cx="5278755" cy="7210476"/>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041F94" w:rsidRPr="0085195F" w:rsidRDefault="00041F94" w:rsidP="00041F94">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BC4B84">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A0696D">
        <w:rPr>
          <w:b/>
        </w:rPr>
        <w:t>Greece-Bulgaria</w:t>
      </w:r>
    </w:p>
    <w:p w:rsidR="00BC4B84" w:rsidRPr="00021CAB" w:rsidRDefault="00BC4B84" w:rsidP="00BC4B84">
      <w:pPr>
        <w:spacing w:after="240"/>
        <w:rPr>
          <w:i/>
        </w:rPr>
      </w:pPr>
      <w:r w:rsidRPr="00021CAB">
        <w:rPr>
          <w:i/>
        </w:rPr>
        <w:t>“Potential Accessibility Multimodal” scores accessibility of NUTS 3 regions by road, rail and air relative to the European average in an Accessibility Index.</w:t>
      </w:r>
    </w:p>
    <w:p w:rsidR="0089569C" w:rsidRDefault="00303BAF" w:rsidP="0089569C">
      <w:pPr>
        <w:spacing w:after="0" w:line="240" w:lineRule="auto"/>
        <w:jc w:val="left"/>
        <w:rPr>
          <w:noProof/>
          <w:lang w:eastAsia="en-GB"/>
        </w:rPr>
      </w:pPr>
      <w:r w:rsidRPr="00303BAF">
        <w:rPr>
          <w:noProof/>
          <w:lang w:val="de-DE" w:eastAsia="de-DE"/>
        </w:rPr>
        <w:pict>
          <v:oval id="_x0000_s1036" style="position:absolute;margin-left:282.6pt;margin-top:312.5pt;width:34pt;height:28.3pt;z-index:251686400" filled="f" strokecolor="#0070c0" strokeweight="2pt"/>
        </w:pict>
      </w:r>
      <w:r w:rsidR="004E3D0B">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19394E" w:rsidP="0019394E">
      <w:pPr>
        <w:pStyle w:val="Heading1"/>
      </w:pPr>
      <w:r w:rsidRPr="00456947">
        <w:lastRenderedPageBreak/>
        <w:t xml:space="preserve">Recommended ESPON reading </w:t>
      </w:r>
    </w:p>
    <w:p w:rsidR="006637D6" w:rsidRDefault="006637D6" w:rsidP="006637D6">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6637D6" w:rsidRDefault="006637D6" w:rsidP="006637D6">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6637D6" w:rsidRPr="00A0472D" w:rsidTr="0068776A">
        <w:trPr>
          <w:trHeight w:val="203"/>
        </w:trPr>
        <w:tc>
          <w:tcPr>
            <w:tcW w:w="1276" w:type="dxa"/>
            <w:shd w:val="clear" w:color="auto" w:fill="auto"/>
          </w:tcPr>
          <w:p w:rsidR="006637D6" w:rsidRPr="00A0472D" w:rsidRDefault="006637D6" w:rsidP="0068776A">
            <w:pPr>
              <w:spacing w:after="0" w:line="20" w:lineRule="atLeast"/>
              <w:rPr>
                <w:b/>
                <w:sz w:val="18"/>
                <w:szCs w:val="18"/>
              </w:rPr>
            </w:pPr>
            <w:r w:rsidRPr="00A0472D">
              <w:rPr>
                <w:b/>
                <w:sz w:val="18"/>
                <w:szCs w:val="18"/>
              </w:rPr>
              <w:t>ESPON study</w:t>
            </w:r>
          </w:p>
        </w:tc>
        <w:tc>
          <w:tcPr>
            <w:tcW w:w="1418" w:type="dxa"/>
            <w:shd w:val="clear" w:color="auto" w:fill="auto"/>
          </w:tcPr>
          <w:p w:rsidR="006637D6" w:rsidRPr="00A0472D" w:rsidRDefault="006637D6" w:rsidP="0068776A">
            <w:pPr>
              <w:spacing w:after="0" w:line="20" w:lineRule="atLeast"/>
              <w:rPr>
                <w:b/>
                <w:sz w:val="18"/>
                <w:szCs w:val="18"/>
              </w:rPr>
            </w:pPr>
            <w:r w:rsidRPr="00A0472D">
              <w:rPr>
                <w:b/>
                <w:sz w:val="18"/>
                <w:szCs w:val="18"/>
              </w:rPr>
              <w:t>Topic</w:t>
            </w:r>
          </w:p>
        </w:tc>
        <w:tc>
          <w:tcPr>
            <w:tcW w:w="5670" w:type="dxa"/>
            <w:shd w:val="clear" w:color="auto" w:fill="auto"/>
          </w:tcPr>
          <w:p w:rsidR="006637D6" w:rsidRPr="00A0472D" w:rsidRDefault="006637D6" w:rsidP="0068776A">
            <w:pPr>
              <w:spacing w:after="0" w:line="20" w:lineRule="atLeast"/>
              <w:rPr>
                <w:b/>
                <w:sz w:val="18"/>
                <w:szCs w:val="18"/>
              </w:rPr>
            </w:pPr>
            <w:r w:rsidRPr="00A0472D">
              <w:rPr>
                <w:b/>
                <w:sz w:val="18"/>
                <w:szCs w:val="18"/>
              </w:rPr>
              <w:t>Content</w:t>
            </w:r>
          </w:p>
        </w:tc>
      </w:tr>
      <w:tr w:rsidR="006637D6" w:rsidRPr="00A0472D" w:rsidTr="0068776A">
        <w:trPr>
          <w:trHeight w:val="274"/>
        </w:trPr>
        <w:tc>
          <w:tcPr>
            <w:tcW w:w="1276" w:type="dxa"/>
            <w:shd w:val="clear" w:color="auto" w:fill="FFFFFF" w:themeFill="background1"/>
          </w:tcPr>
          <w:p w:rsidR="006637D6" w:rsidRPr="00A0472D" w:rsidRDefault="006637D6" w:rsidP="0068776A">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6637D6" w:rsidRPr="00A0472D" w:rsidRDefault="006637D6" w:rsidP="0068776A">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6637D6" w:rsidRPr="00A0472D" w:rsidRDefault="006637D6" w:rsidP="0068776A">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6637D6" w:rsidRPr="00A0472D" w:rsidTr="0068776A">
        <w:trPr>
          <w:trHeight w:val="274"/>
        </w:trPr>
        <w:tc>
          <w:tcPr>
            <w:tcW w:w="1276" w:type="dxa"/>
            <w:shd w:val="clear" w:color="auto" w:fill="FFFFFF" w:themeFill="background1"/>
          </w:tcPr>
          <w:p w:rsidR="006637D6" w:rsidRPr="00A0472D" w:rsidRDefault="006637D6" w:rsidP="0068776A">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6637D6" w:rsidRPr="00A0472D" w:rsidRDefault="006637D6" w:rsidP="0068776A">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6637D6" w:rsidRPr="00A0472D" w:rsidRDefault="006637D6" w:rsidP="0068776A">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6637D6" w:rsidRPr="00A0472D" w:rsidTr="0068776A">
        <w:trPr>
          <w:trHeight w:val="274"/>
        </w:trPr>
        <w:tc>
          <w:tcPr>
            <w:tcW w:w="1276" w:type="dxa"/>
            <w:shd w:val="clear" w:color="auto" w:fill="FFFFFF" w:themeFill="background1"/>
          </w:tcPr>
          <w:p w:rsidR="006637D6" w:rsidRPr="00A0472D" w:rsidRDefault="006637D6" w:rsidP="0068776A">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6637D6" w:rsidRPr="00A0472D" w:rsidTr="0068776A">
        <w:trPr>
          <w:trHeight w:val="274"/>
        </w:trPr>
        <w:tc>
          <w:tcPr>
            <w:tcW w:w="1276" w:type="dxa"/>
            <w:shd w:val="clear" w:color="auto" w:fill="FFFFFF" w:themeFill="background1"/>
          </w:tcPr>
          <w:p w:rsidR="006637D6" w:rsidRPr="00A0472D" w:rsidRDefault="006637D6" w:rsidP="0068776A">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6637D6" w:rsidRPr="00A0472D" w:rsidRDefault="006637D6" w:rsidP="0068776A">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6637D6" w:rsidRPr="00A0472D" w:rsidRDefault="006637D6" w:rsidP="0068776A">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009E51E3">
              <w:rPr>
                <w:rFonts w:cs="Calibri"/>
                <w:sz w:val="18"/>
                <w:szCs w:val="18"/>
                <w:lang w:eastAsia="fr-FR"/>
              </w:rPr>
              <w:t xml:space="preserve">igure </w:t>
            </w:r>
            <w:r w:rsidRPr="00A0472D">
              <w:rPr>
                <w:rFonts w:cs="Calibri"/>
                <w:sz w:val="18"/>
                <w:szCs w:val="18"/>
                <w:lang w:eastAsia="fr-FR"/>
              </w:rPr>
              <w:t xml:space="preserve">1). </w:t>
            </w:r>
          </w:p>
        </w:tc>
      </w:tr>
      <w:tr w:rsidR="006637D6" w:rsidRPr="00A0472D" w:rsidTr="0068776A">
        <w:trPr>
          <w:trHeight w:val="274"/>
        </w:trPr>
        <w:tc>
          <w:tcPr>
            <w:tcW w:w="1276" w:type="dxa"/>
            <w:shd w:val="clear" w:color="auto" w:fill="FFFFFF" w:themeFill="background1"/>
          </w:tcPr>
          <w:p w:rsidR="006637D6" w:rsidRPr="00A0472D" w:rsidRDefault="006637D6" w:rsidP="0068776A">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6637D6" w:rsidRPr="00A0472D" w:rsidRDefault="006637D6" w:rsidP="0068776A">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6637D6" w:rsidRPr="00A0472D" w:rsidRDefault="006637D6" w:rsidP="0068776A">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6637D6" w:rsidRPr="00A0472D" w:rsidTr="0068776A">
        <w:trPr>
          <w:trHeight w:val="274"/>
        </w:trPr>
        <w:tc>
          <w:tcPr>
            <w:tcW w:w="1276" w:type="dxa"/>
            <w:tcBorders>
              <w:bottom w:val="single" w:sz="4" w:space="0" w:color="auto"/>
            </w:tcBorders>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6637D6" w:rsidRPr="00A0472D" w:rsidTr="0068776A">
        <w:trPr>
          <w:trHeight w:val="274"/>
        </w:trPr>
        <w:tc>
          <w:tcPr>
            <w:tcW w:w="1276" w:type="dxa"/>
            <w:shd w:val="clear" w:color="auto" w:fill="FFFFFF" w:themeFill="background1"/>
          </w:tcPr>
          <w:p w:rsidR="006637D6" w:rsidRPr="008152C4" w:rsidRDefault="006637D6" w:rsidP="0068776A">
            <w:pPr>
              <w:spacing w:after="0" w:line="20" w:lineRule="atLeast"/>
              <w:rPr>
                <w:sz w:val="18"/>
                <w:szCs w:val="18"/>
              </w:rPr>
            </w:pPr>
            <w:r>
              <w:rPr>
                <w:sz w:val="18"/>
                <w:szCs w:val="18"/>
              </w:rPr>
              <w:t>KIT</w:t>
            </w:r>
          </w:p>
        </w:tc>
        <w:tc>
          <w:tcPr>
            <w:tcW w:w="1418" w:type="dxa"/>
            <w:shd w:val="clear" w:color="auto" w:fill="FFFFFF" w:themeFill="background1"/>
          </w:tcPr>
          <w:p w:rsidR="006637D6" w:rsidRPr="008152C4" w:rsidRDefault="006637D6" w:rsidP="0068776A">
            <w:pPr>
              <w:spacing w:after="0" w:line="20" w:lineRule="atLeast"/>
              <w:rPr>
                <w:sz w:val="18"/>
                <w:szCs w:val="18"/>
              </w:rPr>
            </w:pPr>
            <w:r w:rsidRPr="008152C4">
              <w:rPr>
                <w:sz w:val="18"/>
                <w:szCs w:val="18"/>
              </w:rPr>
              <w:t>Innovation</w:t>
            </w:r>
          </w:p>
        </w:tc>
        <w:tc>
          <w:tcPr>
            <w:tcW w:w="5670" w:type="dxa"/>
            <w:shd w:val="clear" w:color="auto" w:fill="FFFFFF" w:themeFill="background1"/>
          </w:tcPr>
          <w:p w:rsidR="006637D6" w:rsidRPr="008152C4" w:rsidRDefault="006637D6" w:rsidP="0068776A">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6637D6" w:rsidRPr="00A0472D" w:rsidTr="0068776A">
        <w:trPr>
          <w:trHeight w:val="274"/>
        </w:trPr>
        <w:tc>
          <w:tcPr>
            <w:tcW w:w="1276" w:type="dxa"/>
            <w:shd w:val="clear" w:color="auto" w:fill="FFFFFF" w:themeFill="background1"/>
          </w:tcPr>
          <w:p w:rsidR="006637D6" w:rsidRPr="00A0472D" w:rsidRDefault="006637D6" w:rsidP="0068776A">
            <w:pPr>
              <w:spacing w:after="0" w:line="20" w:lineRule="atLeast"/>
              <w:rPr>
                <w:sz w:val="18"/>
                <w:szCs w:val="18"/>
              </w:rPr>
            </w:pPr>
            <w:r w:rsidRPr="008152C4">
              <w:rPr>
                <w:sz w:val="18"/>
                <w:szCs w:val="18"/>
              </w:rPr>
              <w:t>SGPTD</w:t>
            </w:r>
          </w:p>
        </w:tc>
        <w:tc>
          <w:tcPr>
            <w:tcW w:w="1418" w:type="dxa"/>
            <w:shd w:val="clear" w:color="auto" w:fill="FFFFFF" w:themeFill="background1"/>
          </w:tcPr>
          <w:p w:rsidR="006637D6" w:rsidRPr="00A0472D" w:rsidRDefault="006637D6" w:rsidP="0068776A">
            <w:pPr>
              <w:spacing w:after="0" w:line="20" w:lineRule="atLeast"/>
              <w:rPr>
                <w:sz w:val="18"/>
                <w:szCs w:val="18"/>
              </w:rPr>
            </w:pPr>
            <w:r w:rsidRPr="008152C4">
              <w:rPr>
                <w:sz w:val="18"/>
                <w:szCs w:val="18"/>
              </w:rPr>
              <w:t>Growth poles</w:t>
            </w:r>
          </w:p>
        </w:tc>
        <w:tc>
          <w:tcPr>
            <w:tcW w:w="5670" w:type="dxa"/>
            <w:shd w:val="clear" w:color="auto" w:fill="FFFFFF" w:themeFill="background1"/>
          </w:tcPr>
          <w:p w:rsidR="006637D6" w:rsidRPr="00A0472D" w:rsidRDefault="006637D6" w:rsidP="0068776A">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6637D6" w:rsidRPr="00A0472D" w:rsidTr="0068776A">
        <w:trPr>
          <w:trHeight w:val="274"/>
        </w:trPr>
        <w:tc>
          <w:tcPr>
            <w:tcW w:w="1276" w:type="dxa"/>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TERCO</w:t>
            </w:r>
          </w:p>
        </w:tc>
        <w:tc>
          <w:tcPr>
            <w:tcW w:w="1418" w:type="dxa"/>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Territorial cooperation</w:t>
            </w:r>
          </w:p>
        </w:tc>
        <w:tc>
          <w:tcPr>
            <w:tcW w:w="5670" w:type="dxa"/>
            <w:shd w:val="clear" w:color="auto" w:fill="FFFFFF" w:themeFill="background1"/>
          </w:tcPr>
          <w:p w:rsidR="006637D6" w:rsidRPr="00A0472D" w:rsidRDefault="006637D6" w:rsidP="0068776A">
            <w:pPr>
              <w:spacing w:after="0" w:line="20" w:lineRule="atLeast"/>
              <w:rPr>
                <w:sz w:val="18"/>
                <w:szCs w:val="18"/>
              </w:rPr>
            </w:pPr>
            <w:r w:rsidRPr="00A0472D">
              <w:rPr>
                <w:sz w:val="18"/>
                <w:szCs w:val="18"/>
              </w:rPr>
              <w:t>It delivers evidence concerning transports, accessibility, demography,</w:t>
            </w:r>
            <w:r>
              <w:rPr>
                <w:sz w:val="18"/>
                <w:szCs w:val="18"/>
              </w:rPr>
              <w:t xml:space="preserve"> </w:t>
            </w:r>
            <w:r w:rsidRPr="00A0472D">
              <w:rPr>
                <w:sz w:val="18"/>
                <w:szCs w:val="18"/>
              </w:rPr>
              <w:t xml:space="preserve">competitiveness and labour market. The project </w:t>
            </w:r>
            <w:r>
              <w:rPr>
                <w:sz w:val="18"/>
                <w:szCs w:val="18"/>
              </w:rPr>
              <w:t xml:space="preserve">reports </w:t>
            </w:r>
            <w:r w:rsidRPr="00A0472D">
              <w:rPr>
                <w:sz w:val="18"/>
                <w:szCs w:val="18"/>
              </w:rPr>
              <w:t xml:space="preserve">a case study including some parts of the </w:t>
            </w:r>
            <w:r>
              <w:rPr>
                <w:sz w:val="18"/>
                <w:szCs w:val="18"/>
              </w:rPr>
              <w:t xml:space="preserve">CBC </w:t>
            </w:r>
            <w:r w:rsidRPr="00A0472D">
              <w:rPr>
                <w:sz w:val="18"/>
                <w:szCs w:val="18"/>
              </w:rPr>
              <w:t xml:space="preserve">area (see the Scientific Report </w:t>
            </w:r>
            <w:r>
              <w:rPr>
                <w:sz w:val="18"/>
                <w:szCs w:val="18"/>
              </w:rPr>
              <w:t>of</w:t>
            </w:r>
            <w:r w:rsidRPr="00A0472D">
              <w:rPr>
                <w:sz w:val="18"/>
                <w:szCs w:val="18"/>
              </w:rPr>
              <w:t xml:space="preserve"> the Draft Final Report).</w:t>
            </w:r>
          </w:p>
        </w:tc>
      </w:tr>
    </w:tbl>
    <w:p w:rsidR="006637D6" w:rsidRDefault="006637D6" w:rsidP="006637D6">
      <w:pPr>
        <w:spacing w:before="240"/>
      </w:pPr>
      <w:r>
        <w:t>Furthermore, some of overall ESPON products of particular interest for territorial cooperation are:</w:t>
      </w:r>
    </w:p>
    <w:p w:rsidR="0019394E" w:rsidRDefault="0019394E" w:rsidP="0019394E">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19394E" w:rsidRDefault="0019394E" w:rsidP="0019394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19394E" w:rsidRPr="00A33083" w:rsidRDefault="0019394E" w:rsidP="0019394E">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19394E" w:rsidRDefault="0019394E" w:rsidP="0019394E">
      <w:pPr>
        <w:pStyle w:val="ListParagraph"/>
        <w:numPr>
          <w:ilvl w:val="0"/>
          <w:numId w:val="4"/>
        </w:numPr>
      </w:pPr>
      <w:r w:rsidRPr="00112693">
        <w:rPr>
          <w:b/>
        </w:rPr>
        <w:t>ESPON Hyperaltas</w:t>
      </w:r>
      <w:r w:rsidRPr="000B4718">
        <w:t xml:space="preserve"> </w:t>
      </w:r>
      <w:r>
        <w:t xml:space="preserve">allows </w:t>
      </w:r>
      <w:r w:rsidR="00BC49D2">
        <w:t>comparing and analysing</w:t>
      </w:r>
      <w:r>
        <w:t xml:space="preserve"> a</w:t>
      </w:r>
      <w:r w:rsidRPr="000B4718">
        <w:t xml:space="preserve"> region’s relative position at European, national and local scale for a </w:t>
      </w:r>
      <w:r>
        <w:t>wide range of</w:t>
      </w:r>
      <w:r w:rsidRPr="000B4718">
        <w:t xml:space="preserve"> criteria.</w:t>
      </w:r>
    </w:p>
    <w:p w:rsidR="0019394E" w:rsidRPr="00CD642B" w:rsidRDefault="0019394E" w:rsidP="0019394E">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19394E" w:rsidRDefault="0019394E" w:rsidP="0019394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19394E" w:rsidRPr="003E2CCE" w:rsidRDefault="0019394E" w:rsidP="0019394E">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303BAF" w:rsidRPr="00303BAF">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B3D" w:rsidRDefault="004D0B3D">
      <w:r>
        <w:separator/>
      </w:r>
    </w:p>
  </w:endnote>
  <w:endnote w:type="continuationSeparator" w:id="0">
    <w:p w:rsidR="004D0B3D" w:rsidRDefault="004D0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303BAF"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303BAF"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041F94">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303BAF"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041F94">
      <w:rPr>
        <w:rStyle w:val="PageNumber"/>
        <w:noProof/>
        <w:szCs w:val="20"/>
      </w:rPr>
      <w:t>16</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B3D" w:rsidRDefault="004D0B3D">
      <w:r>
        <w:separator/>
      </w:r>
    </w:p>
  </w:footnote>
  <w:footnote w:type="continuationSeparator" w:id="0">
    <w:p w:rsidR="004D0B3D" w:rsidRDefault="004D0B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303BAF">
    <w:pPr>
      <w:pStyle w:val="Header"/>
    </w:pPr>
    <w:r w:rsidRPr="00303BAF">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1F94"/>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36335"/>
    <w:rsid w:val="001507D7"/>
    <w:rsid w:val="00150A5A"/>
    <w:rsid w:val="00150FCB"/>
    <w:rsid w:val="00151954"/>
    <w:rsid w:val="00152974"/>
    <w:rsid w:val="00153108"/>
    <w:rsid w:val="0015691A"/>
    <w:rsid w:val="00157B13"/>
    <w:rsid w:val="00162FF6"/>
    <w:rsid w:val="0016435C"/>
    <w:rsid w:val="00172B99"/>
    <w:rsid w:val="00177F91"/>
    <w:rsid w:val="00180932"/>
    <w:rsid w:val="00180D67"/>
    <w:rsid w:val="00182673"/>
    <w:rsid w:val="001838FE"/>
    <w:rsid w:val="00184B93"/>
    <w:rsid w:val="001907DA"/>
    <w:rsid w:val="00191F3D"/>
    <w:rsid w:val="001929F2"/>
    <w:rsid w:val="0019394E"/>
    <w:rsid w:val="00193F6F"/>
    <w:rsid w:val="001A0A8D"/>
    <w:rsid w:val="001A19F0"/>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3D60"/>
    <w:rsid w:val="001F5D67"/>
    <w:rsid w:val="002004FA"/>
    <w:rsid w:val="00200704"/>
    <w:rsid w:val="00207B3F"/>
    <w:rsid w:val="0021343D"/>
    <w:rsid w:val="002146DB"/>
    <w:rsid w:val="0022077E"/>
    <w:rsid w:val="00220A8C"/>
    <w:rsid w:val="002214A4"/>
    <w:rsid w:val="00221A45"/>
    <w:rsid w:val="00223DE3"/>
    <w:rsid w:val="002240AF"/>
    <w:rsid w:val="002250F3"/>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2C96"/>
    <w:rsid w:val="002A7776"/>
    <w:rsid w:val="002B0F6A"/>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3BAF"/>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C7594"/>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33090"/>
    <w:rsid w:val="004353CB"/>
    <w:rsid w:val="00437173"/>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044A"/>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0B3D"/>
    <w:rsid w:val="004D2437"/>
    <w:rsid w:val="004D6E70"/>
    <w:rsid w:val="004E11D0"/>
    <w:rsid w:val="004E39BD"/>
    <w:rsid w:val="004E3B1D"/>
    <w:rsid w:val="004E3D0B"/>
    <w:rsid w:val="004F0F17"/>
    <w:rsid w:val="004F26B8"/>
    <w:rsid w:val="004F4013"/>
    <w:rsid w:val="004F6946"/>
    <w:rsid w:val="005023B0"/>
    <w:rsid w:val="00502D0D"/>
    <w:rsid w:val="00502E0A"/>
    <w:rsid w:val="00505959"/>
    <w:rsid w:val="005070C8"/>
    <w:rsid w:val="00511059"/>
    <w:rsid w:val="0051108F"/>
    <w:rsid w:val="005131EA"/>
    <w:rsid w:val="00524215"/>
    <w:rsid w:val="00526E5A"/>
    <w:rsid w:val="005322AA"/>
    <w:rsid w:val="00541834"/>
    <w:rsid w:val="0054220D"/>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A59"/>
    <w:rsid w:val="005D0C21"/>
    <w:rsid w:val="005D1921"/>
    <w:rsid w:val="005D2D0B"/>
    <w:rsid w:val="005D53EE"/>
    <w:rsid w:val="005D621D"/>
    <w:rsid w:val="005D7363"/>
    <w:rsid w:val="005D78FE"/>
    <w:rsid w:val="005E463C"/>
    <w:rsid w:val="005E4E4C"/>
    <w:rsid w:val="005E6290"/>
    <w:rsid w:val="005F24DD"/>
    <w:rsid w:val="005F7BDC"/>
    <w:rsid w:val="0060091E"/>
    <w:rsid w:val="00610DAB"/>
    <w:rsid w:val="0061660C"/>
    <w:rsid w:val="00616DE9"/>
    <w:rsid w:val="0061757F"/>
    <w:rsid w:val="006326AB"/>
    <w:rsid w:val="00633FE2"/>
    <w:rsid w:val="0064304F"/>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123C"/>
    <w:rsid w:val="006C481B"/>
    <w:rsid w:val="006D18CA"/>
    <w:rsid w:val="006D3D3E"/>
    <w:rsid w:val="006D4D0B"/>
    <w:rsid w:val="006D5157"/>
    <w:rsid w:val="006D5350"/>
    <w:rsid w:val="006D6890"/>
    <w:rsid w:val="006E0347"/>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3B47"/>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2448"/>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A75CC"/>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1A68"/>
    <w:rsid w:val="00982CD3"/>
    <w:rsid w:val="00983AB6"/>
    <w:rsid w:val="00995A08"/>
    <w:rsid w:val="0099613A"/>
    <w:rsid w:val="00997518"/>
    <w:rsid w:val="009A379F"/>
    <w:rsid w:val="009A58B8"/>
    <w:rsid w:val="009A768F"/>
    <w:rsid w:val="009A7921"/>
    <w:rsid w:val="009B1274"/>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96D"/>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57D5B"/>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0698"/>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4B84"/>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40A6"/>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A7502"/>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55F79"/>
    <w:rsid w:val="00D67AFE"/>
    <w:rsid w:val="00D72C5E"/>
    <w:rsid w:val="00D72FE3"/>
    <w:rsid w:val="00D74BD3"/>
    <w:rsid w:val="00D77200"/>
    <w:rsid w:val="00D81724"/>
    <w:rsid w:val="00D8210F"/>
    <w:rsid w:val="00D83C64"/>
    <w:rsid w:val="00D87185"/>
    <w:rsid w:val="00DA1668"/>
    <w:rsid w:val="00DA20D3"/>
    <w:rsid w:val="00DA3493"/>
    <w:rsid w:val="00DA3852"/>
    <w:rsid w:val="00DA49C4"/>
    <w:rsid w:val="00DA63BF"/>
    <w:rsid w:val="00DA6F83"/>
    <w:rsid w:val="00DB42BD"/>
    <w:rsid w:val="00DB605C"/>
    <w:rsid w:val="00DC0823"/>
    <w:rsid w:val="00DC21BC"/>
    <w:rsid w:val="00DC2B5A"/>
    <w:rsid w:val="00DC3E4C"/>
    <w:rsid w:val="00DC4E40"/>
    <w:rsid w:val="00DC55C7"/>
    <w:rsid w:val="00DC60A4"/>
    <w:rsid w:val="00DC6422"/>
    <w:rsid w:val="00DD0539"/>
    <w:rsid w:val="00DD5DDA"/>
    <w:rsid w:val="00DE0D99"/>
    <w:rsid w:val="00DE584B"/>
    <w:rsid w:val="00DF22D8"/>
    <w:rsid w:val="00DF76E3"/>
    <w:rsid w:val="00E02024"/>
    <w:rsid w:val="00E03013"/>
    <w:rsid w:val="00E03104"/>
    <w:rsid w:val="00E03ABA"/>
    <w:rsid w:val="00E04EC2"/>
    <w:rsid w:val="00E10213"/>
    <w:rsid w:val="00E108F5"/>
    <w:rsid w:val="00E11808"/>
    <w:rsid w:val="00E21E7C"/>
    <w:rsid w:val="00E2604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12E7"/>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220219746">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429278695">
      <w:bodyDiv w:val="1"/>
      <w:marLeft w:val="0"/>
      <w:marRight w:val="0"/>
      <w:marTop w:val="0"/>
      <w:marBottom w:val="0"/>
      <w:divBdr>
        <w:top w:val="none" w:sz="0" w:space="0" w:color="auto"/>
        <w:left w:val="none" w:sz="0" w:space="0" w:color="auto"/>
        <w:bottom w:val="none" w:sz="0" w:space="0" w:color="auto"/>
        <w:right w:val="none" w:sz="0" w:space="0" w:color="auto"/>
      </w:divBdr>
    </w:div>
    <w:div w:id="1886329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spon.eu/main/Menu_Projects/"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AED5BAA2-0DC5-436D-BC80-C17A0C30C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3161</Words>
  <Characters>18018</Characters>
  <Application>Microsoft Office Word</Application>
  <DocSecurity>0</DocSecurity>
  <Lines>150</Lines>
  <Paragraphs>42</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21137</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2012-10-17T14:21:00Z</cp:lastPrinted>
  <dcterms:created xsi:type="dcterms:W3CDTF">2012-11-20T10:02:00Z</dcterms:created>
  <dcterms:modified xsi:type="dcterms:W3CDTF">2012-11-27T11:48:00Z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