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9F1" w:rsidRDefault="00F709F1" w:rsidP="00BC65E1"/>
    <w:p w:rsidR="00F709F1" w:rsidRDefault="00F709F1" w:rsidP="00BC65E1"/>
    <w:p w:rsidR="00F709F1" w:rsidRDefault="00F709F1" w:rsidP="00BC65E1"/>
    <w:p w:rsidR="00F709F1" w:rsidRDefault="00F709F1" w:rsidP="00BC65E1">
      <w:pPr>
        <w:jc w:val="center"/>
        <w:rPr>
          <w:rFonts w:ascii="Arial" w:hAnsi="Arial" w:cs="Arial"/>
          <w:sz w:val="32"/>
          <w:szCs w:val="32"/>
          <w:lang w:val="en-US"/>
        </w:rPr>
      </w:pPr>
    </w:p>
    <w:p w:rsidR="00F709F1" w:rsidRDefault="00F709F1" w:rsidP="00BC65E1">
      <w:pPr>
        <w:jc w:val="center"/>
        <w:rPr>
          <w:rFonts w:ascii="Arial" w:hAnsi="Arial" w:cs="Arial"/>
          <w:sz w:val="32"/>
          <w:szCs w:val="32"/>
          <w:lang w:val="en-US"/>
        </w:rPr>
      </w:pPr>
    </w:p>
    <w:p w:rsidR="00F709F1" w:rsidRDefault="00F709F1" w:rsidP="00BC65E1">
      <w:pPr>
        <w:spacing w:after="0" w:line="240" w:lineRule="auto"/>
        <w:jc w:val="center"/>
        <w:rPr>
          <w:rFonts w:ascii="Arial" w:hAnsi="Arial" w:cs="Arial"/>
          <w:sz w:val="32"/>
          <w:szCs w:val="32"/>
          <w:lang w:val="en-US"/>
        </w:rPr>
      </w:pPr>
    </w:p>
    <w:p w:rsidR="00F709F1" w:rsidRDefault="00F709F1" w:rsidP="00BC65E1">
      <w:pPr>
        <w:spacing w:after="0" w:line="240" w:lineRule="auto"/>
        <w:jc w:val="center"/>
        <w:rPr>
          <w:rFonts w:ascii="Arial" w:hAnsi="Arial" w:cs="Arial"/>
          <w:sz w:val="32"/>
          <w:szCs w:val="32"/>
          <w:lang w:val="en-US"/>
        </w:rPr>
      </w:pPr>
    </w:p>
    <w:p w:rsidR="00F709F1" w:rsidRDefault="00F709F1" w:rsidP="00BC65E1">
      <w:pPr>
        <w:spacing w:after="0" w:line="240" w:lineRule="auto"/>
        <w:jc w:val="center"/>
        <w:rPr>
          <w:rFonts w:ascii="Arial" w:hAnsi="Arial" w:cs="Arial"/>
          <w:sz w:val="32"/>
          <w:szCs w:val="32"/>
          <w:lang w:val="en-US"/>
        </w:rPr>
      </w:pPr>
    </w:p>
    <w:p w:rsidR="00F709F1" w:rsidRDefault="00F709F1" w:rsidP="00BC65E1">
      <w:pPr>
        <w:spacing w:after="0" w:line="240" w:lineRule="auto"/>
        <w:jc w:val="center"/>
        <w:rPr>
          <w:rFonts w:ascii="Arial" w:hAnsi="Arial" w:cs="Arial"/>
          <w:sz w:val="32"/>
          <w:szCs w:val="32"/>
          <w:lang w:val="en-US"/>
        </w:rPr>
      </w:pPr>
    </w:p>
    <w:p w:rsidR="00F709F1" w:rsidRDefault="00F709F1" w:rsidP="00FC5035">
      <w:pPr>
        <w:spacing w:after="0" w:line="240" w:lineRule="auto"/>
        <w:rPr>
          <w:rFonts w:ascii="Arial" w:hAnsi="Arial" w:cs="Arial"/>
          <w:sz w:val="32"/>
          <w:szCs w:val="32"/>
          <w:lang w:val="en-US"/>
        </w:rPr>
      </w:pPr>
    </w:p>
    <w:p w:rsidR="00F709F1" w:rsidRPr="00A3672A" w:rsidRDefault="00F709F1" w:rsidP="000D3299">
      <w:pPr>
        <w:spacing w:line="240" w:lineRule="auto"/>
        <w:ind w:left="-851"/>
        <w:jc w:val="center"/>
        <w:rPr>
          <w:rFonts w:ascii="Arial" w:hAnsi="Arial" w:cs="Arial"/>
          <w:sz w:val="40"/>
          <w:szCs w:val="40"/>
          <w:lang w:val="en-US"/>
        </w:rPr>
      </w:pPr>
      <w:r w:rsidRPr="00A3672A">
        <w:rPr>
          <w:rFonts w:ascii="Arial" w:hAnsi="Arial" w:cs="Arial"/>
          <w:sz w:val="40"/>
          <w:szCs w:val="40"/>
          <w:lang w:val="en-US"/>
        </w:rPr>
        <w:t>Italy – Malta</w:t>
      </w:r>
    </w:p>
    <w:p w:rsidR="00F709F1" w:rsidRDefault="00474B1E"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07280" cy="5029200"/>
            <wp:effectExtent l="2540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cstate="print"/>
                    <a:srcRect/>
                    <a:stretch>
                      <a:fillRect/>
                    </a:stretch>
                  </pic:blipFill>
                  <pic:spPr bwMode="auto">
                    <a:xfrm>
                      <a:off x="0" y="0"/>
                      <a:ext cx="4907280" cy="5029200"/>
                    </a:xfrm>
                    <a:prstGeom prst="rect">
                      <a:avLst/>
                    </a:prstGeom>
                    <a:noFill/>
                    <a:ln w="9525">
                      <a:noFill/>
                      <a:miter lim="800000"/>
                      <a:headEnd/>
                      <a:tailEnd/>
                    </a:ln>
                  </pic:spPr>
                </pic:pic>
              </a:graphicData>
            </a:graphic>
          </wp:inline>
        </w:drawing>
      </w:r>
    </w:p>
    <w:p w:rsidR="00F709F1" w:rsidRDefault="00F709F1" w:rsidP="00337519">
      <w:pPr>
        <w:spacing w:after="0" w:line="240" w:lineRule="auto"/>
        <w:ind w:left="-851"/>
        <w:jc w:val="center"/>
        <w:rPr>
          <w:rFonts w:ascii="Arial" w:hAnsi="Arial" w:cs="Arial"/>
          <w:sz w:val="32"/>
          <w:szCs w:val="32"/>
          <w:lang w:val="en-US"/>
        </w:rPr>
      </w:pPr>
    </w:p>
    <w:p w:rsidR="00A3672A" w:rsidRDefault="00A3672A" w:rsidP="00A3672A">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A3672A" w:rsidRDefault="00A3672A" w:rsidP="00A3672A">
      <w:pPr>
        <w:spacing w:after="0" w:line="240" w:lineRule="auto"/>
        <w:ind w:left="-851"/>
        <w:jc w:val="center"/>
        <w:rPr>
          <w:rFonts w:ascii="Arial" w:hAnsi="Arial" w:cs="Arial"/>
        </w:rPr>
      </w:pPr>
      <w:r>
        <w:rPr>
          <w:rFonts w:ascii="Arial" w:hAnsi="Arial" w:cs="Arial"/>
          <w:sz w:val="32"/>
          <w:szCs w:val="32"/>
          <w:lang w:val="en-US"/>
        </w:rPr>
        <w:t>November 2012</w:t>
      </w:r>
    </w:p>
    <w:p w:rsidR="00F709F1" w:rsidRPr="00127102" w:rsidRDefault="00F709F1" w:rsidP="00BC65E1">
      <w:pPr>
        <w:pStyle w:val="ESPONColophon"/>
        <w:ind w:left="810"/>
        <w:rPr>
          <w:rFonts w:ascii="Arial" w:hAnsi="Arial" w:cs="Arial"/>
        </w:rPr>
      </w:pPr>
    </w:p>
    <w:p w:rsidR="00F709F1" w:rsidRPr="00127102" w:rsidRDefault="00F709F1" w:rsidP="00BC65E1">
      <w:pPr>
        <w:pStyle w:val="ESPONColophon"/>
        <w:ind w:left="810"/>
        <w:rPr>
          <w:rFonts w:ascii="Arial" w:hAnsi="Arial" w:cs="Arial"/>
        </w:rPr>
        <w:sectPr w:rsidR="00F709F1" w:rsidRPr="00127102">
          <w:headerReference w:type="default" r:id="rId8"/>
          <w:footerReference w:type="even" r:id="rId9"/>
          <w:footerReference w:type="default" r:id="rId10"/>
          <w:pgSz w:w="11906" w:h="16838"/>
          <w:pgMar w:top="0" w:right="851" w:bottom="1644" w:left="1701" w:header="708" w:footer="708" w:gutter="0"/>
          <w:cols w:space="708"/>
        </w:sectPr>
      </w:pPr>
    </w:p>
    <w:p w:rsidR="00F709F1" w:rsidRPr="006955F2" w:rsidRDefault="00F709F1" w:rsidP="00133602">
      <w:pPr>
        <w:pStyle w:val="Heading1"/>
        <w:numPr>
          <w:ilvl w:val="0"/>
          <w:numId w:val="0"/>
        </w:numPr>
        <w:ind w:left="432" w:hanging="432"/>
      </w:pPr>
      <w:r>
        <w:lastRenderedPageBreak/>
        <w:t>Introduction</w:t>
      </w:r>
    </w:p>
    <w:p w:rsidR="00F709F1" w:rsidRDefault="00F709F1"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F709F1" w:rsidRDefault="00F709F1" w:rsidP="000A647A">
      <w:r>
        <w:t xml:space="preserve">The ESPON TERREVI project focuses on producing evidence for Structural Funds programmes with the aim to support the development of the programmes to be carried out in the 2014-2020 period. </w:t>
      </w:r>
    </w:p>
    <w:p w:rsidR="00F709F1" w:rsidRDefault="00F709F1"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F709F1" w:rsidRPr="007456E2" w:rsidRDefault="00F709F1"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E833F3" w:rsidRPr="0085195F" w:rsidRDefault="00F709F1" w:rsidP="00E833F3">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E833F3" w:rsidRPr="0085195F">
        <w:t>This is intended as an electronic publication so map quality is generally high to allow users to zoom into specific territories.</w:t>
      </w:r>
    </w:p>
    <w:p w:rsidR="00F709F1" w:rsidRDefault="00E833F3" w:rsidP="00A265BE">
      <w:pPr>
        <w:shd w:val="clear" w:color="auto" w:fill="FFFFFF"/>
      </w:pPr>
      <w:r w:rsidRPr="0085195F">
        <w:t>This factsheet does not necessarily reflect the opinion of the ESPON Monitoring Committee.</w:t>
      </w:r>
    </w:p>
    <w:p w:rsidR="00F709F1" w:rsidRDefault="00F709F1" w:rsidP="00BA161A">
      <w:pPr>
        <w:pStyle w:val="Heading1"/>
      </w:pPr>
      <w:r>
        <w:t xml:space="preserve">Europe 2020 </w:t>
      </w:r>
    </w:p>
    <w:p w:rsidR="00F709F1" w:rsidRDefault="00F709F1"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F709F1" w:rsidRDefault="00F709F1"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F709F1" w:rsidRDefault="00F709F1"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F709F1" w:rsidRDefault="00F709F1"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A56D6F" w:rsidRDefault="00A56D6F" w:rsidP="00A56D6F">
      <w:r>
        <w:t>In the following the traffic light for each indicator represents how your programme territory compares to wider European and national medians where green = your programme area performs better for that indicator, yel</w:t>
      </w:r>
      <w:r w:rsidR="00E833F3">
        <w:t>low = similar, and red = worse.</w:t>
      </w:r>
    </w:p>
    <w:p w:rsidR="00E55572" w:rsidRDefault="00A56D6F" w:rsidP="00E55572">
      <w:r>
        <w:t xml:space="preserve">In creating the traffic </w:t>
      </w:r>
      <w:r w:rsidR="00E55572">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11670B" w:rsidRPr="00973E76" w:rsidRDefault="0011670B" w:rsidP="0011670B">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F709F1" w:rsidRDefault="00F709F1" w:rsidP="00337872">
      <w:pPr>
        <w:pStyle w:val="Heading3"/>
      </w:pPr>
      <w:r w:rsidRPr="003109A9">
        <w:t>Smart growth</w:t>
      </w:r>
      <w:r w:rsidRPr="00337872">
        <w:t xml:space="preserve"> </w:t>
      </w:r>
    </w:p>
    <w:p w:rsidR="00F709F1" w:rsidRDefault="00F709F1"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512902" w:rsidRDefault="00512902" w:rsidP="00C33A99">
      <w:r>
        <w:rPr>
          <w:noProof/>
          <w:lang w:val="en-US"/>
        </w:rPr>
        <w:drawing>
          <wp:anchor distT="0" distB="0" distL="114300" distR="114300" simplePos="0" relativeHeight="251674112" behindDoc="1" locked="0" layoutInCell="1" allowOverlap="1">
            <wp:simplePos x="0" y="0"/>
            <wp:positionH relativeFrom="column">
              <wp:posOffset>-6350</wp:posOffset>
            </wp:positionH>
            <wp:positionV relativeFrom="paragraph">
              <wp:posOffset>39370</wp:posOffset>
            </wp:positionV>
            <wp:extent cx="5276850" cy="2707005"/>
            <wp:effectExtent l="19050" t="0" r="0" b="0"/>
            <wp:wrapTight wrapText="bothSides">
              <wp:wrapPolygon edited="0">
                <wp:start x="-78" y="0"/>
                <wp:lineTo x="-78" y="21433"/>
                <wp:lineTo x="21600" y="21433"/>
                <wp:lineTo x="21600" y="0"/>
                <wp:lineTo x="-78" y="0"/>
              </wp:wrapPolygon>
            </wp:wrapTight>
            <wp:docPr id="1" name="Bild 1" descr="P:\LU_2011_ESPON_TerrEvi_100269\03_Project development\WorkinProgress_FactSheets\TL_CBC2\CBC Programme Italy_Mal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Italy_Malta 1.png"/>
                    <pic:cNvPicPr>
                      <a:picLocks noChangeAspect="1" noChangeArrowheads="1"/>
                    </pic:cNvPicPr>
                  </pic:nvPicPr>
                  <pic:blipFill>
                    <a:blip r:embed="rId11" cstate="print"/>
                    <a:srcRect/>
                    <a:stretch>
                      <a:fillRect/>
                    </a:stretch>
                  </pic:blipFill>
                  <pic:spPr bwMode="auto">
                    <a:xfrm>
                      <a:off x="0" y="0"/>
                      <a:ext cx="5276850" cy="2707005"/>
                    </a:xfrm>
                    <a:prstGeom prst="rect">
                      <a:avLst/>
                    </a:prstGeom>
                    <a:noFill/>
                    <a:ln w="9525">
                      <a:noFill/>
                      <a:miter lim="800000"/>
                      <a:headEnd/>
                      <a:tailEnd/>
                    </a:ln>
                  </pic:spPr>
                </pic:pic>
              </a:graphicData>
            </a:graphic>
          </wp:anchor>
        </w:drawing>
      </w:r>
    </w:p>
    <w:p w:rsidR="003109A9" w:rsidRPr="00450DEC" w:rsidRDefault="003109A9" w:rsidP="003109A9">
      <w:pPr>
        <w:spacing w:before="120"/>
      </w:pPr>
      <w:r w:rsidRPr="00B92990">
        <w:t>According to all indicators reported above, the</w:t>
      </w:r>
      <w:r>
        <w:t xml:space="preserve"> Italy-Malta</w:t>
      </w:r>
      <w:r w:rsidRPr="00B92990">
        <w:t xml:space="preserve"> CBC area performs at a</w:t>
      </w:r>
      <w:r>
        <w:t xml:space="preserve"> not higher </w:t>
      </w:r>
      <w:r w:rsidRPr="00B92990">
        <w:t>level t</w:t>
      </w:r>
      <w:r>
        <w:t>han</w:t>
      </w:r>
      <w:r w:rsidRPr="00B92990">
        <w:t xml:space="preserve"> the EU27+4 space and all CBC ones. Considering the </w:t>
      </w:r>
      <w:r w:rsidRPr="00450DEC">
        <w:t xml:space="preserve">objective of R&amp;D expenditure of  percentage of the GDP - one of the five headline targets in the Europe 2020 Strategy - the CBC area is still lagging behind the </w:t>
      </w:r>
      <w:r w:rsidRPr="00450DEC">
        <w:lastRenderedPageBreak/>
        <w:t>EU27+4 space, all CBC areas and Italy. Moreover, the CBC is characterized by a medium level of internal disparity and performs better than Malta.</w:t>
      </w:r>
    </w:p>
    <w:p w:rsidR="003109A9" w:rsidRPr="00450DEC" w:rsidRDefault="003109A9" w:rsidP="003109A9">
      <w:r w:rsidRPr="00450DEC">
        <w:t>Concerning the ratio of employment in knowledge-intensive service to the total employment in 2010, the CBC area has</w:t>
      </w:r>
      <w:r w:rsidR="003359FF">
        <w:t xml:space="preserve"> approximately</w:t>
      </w:r>
      <w:r w:rsidRPr="00450DEC">
        <w:t xml:space="preserve"> the same values as the EU27+4 space and all CBCs; slightly higher than Italy and </w:t>
      </w:r>
      <w:r w:rsidR="003359FF">
        <w:t xml:space="preserve">slightly </w:t>
      </w:r>
      <w:r w:rsidRPr="00450DEC">
        <w:t xml:space="preserve">lower than Malta. The distribution inside the CBC results in a low level of internal disparity. </w:t>
      </w:r>
    </w:p>
    <w:p w:rsidR="003109A9" w:rsidRPr="00450DEC" w:rsidRDefault="003109A9" w:rsidP="003109A9">
      <w:r w:rsidRPr="00450DEC">
        <w:t>In terms of the percentage of individuals regularly using internet in 2011, the CBC has lower values than the EU27+4 space, all CBCs and Malta, but it performs in a similar way to Italy with a medium internal disparity.</w:t>
      </w:r>
    </w:p>
    <w:p w:rsidR="00F709F1" w:rsidRDefault="003109A9" w:rsidP="003109A9">
      <w:r w:rsidRPr="00450DEC">
        <w:t>According to the classification of the KIT project, MAP 1 identifies a unique</w:t>
      </w:r>
      <w:r w:rsidRPr="00B92990">
        <w:t xml:space="preserve"> territorial pattern of innovation</w:t>
      </w:r>
      <w:r>
        <w:t xml:space="preserve"> defined as a</w:t>
      </w:r>
      <w:r w:rsidRPr="00B92990">
        <w:t xml:space="preserve"> </w:t>
      </w:r>
      <w:r w:rsidRPr="001A612A">
        <w:rPr>
          <w:rFonts w:cstheme="minorHAnsi"/>
          <w:szCs w:val="20"/>
        </w:rPr>
        <w:t>‘Creative imitation area’</w:t>
      </w:r>
      <w:r>
        <w:rPr>
          <w:rFonts w:cstheme="minorHAnsi"/>
          <w:szCs w:val="20"/>
        </w:rPr>
        <w:t xml:space="preserve">.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F709F1" w:rsidRDefault="00F709F1" w:rsidP="00C33A99"/>
    <w:p w:rsidR="00F709F1" w:rsidRDefault="00F709F1" w:rsidP="00C33A99"/>
    <w:p w:rsidR="00F709F1" w:rsidRDefault="00F709F1">
      <w:pPr>
        <w:spacing w:after="0" w:line="240" w:lineRule="auto"/>
        <w:jc w:val="left"/>
      </w:pPr>
      <w:r>
        <w:br w:type="page"/>
      </w:r>
    </w:p>
    <w:p w:rsidR="00F709F1" w:rsidRPr="004C764D" w:rsidRDefault="00F709F1"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Italy – Malta</w:t>
      </w:r>
    </w:p>
    <w:p w:rsidR="00F709F1" w:rsidRDefault="00F709F1" w:rsidP="008A3B96"/>
    <w:p w:rsidR="00F709F1" w:rsidRDefault="001831A8" w:rsidP="008A3B96">
      <w:pPr>
        <w:spacing w:after="0" w:line="240" w:lineRule="auto"/>
      </w:pPr>
      <w:r w:rsidRPr="001831A8">
        <w:rPr>
          <w:noProof/>
          <w:lang w:val="de-DE" w:eastAsia="de-DE"/>
        </w:rPr>
        <w:pict>
          <v:oval id="_x0000_s1044" style="position:absolute;left:0;text-align:left;margin-left:191.45pt;margin-top:359.6pt;width:41.4pt;height:25.1pt;rotation:1872796fd;z-index:251665920" filled="f" strokecolor="#0070c0" strokeweight="2pt"/>
        </w:pict>
      </w:r>
      <w:r w:rsidR="00056F7F">
        <w:rPr>
          <w:noProof/>
          <w:lang w:val="en-US"/>
        </w:rPr>
        <w:drawing>
          <wp:inline distT="0" distB="0" distL="0" distR="0">
            <wp:extent cx="5278755" cy="6291195"/>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F709F1" w:rsidRDefault="00F709F1" w:rsidP="008A3B96"/>
    <w:p w:rsidR="00F709F1" w:rsidRDefault="00F709F1">
      <w:pPr>
        <w:spacing w:after="0" w:line="240" w:lineRule="auto"/>
        <w:jc w:val="left"/>
      </w:pPr>
      <w:r>
        <w:br w:type="page"/>
      </w:r>
    </w:p>
    <w:p w:rsidR="00F709F1" w:rsidRDefault="00F709F1" w:rsidP="004F26B8">
      <w:pPr>
        <w:pStyle w:val="Heading3"/>
      </w:pPr>
      <w:r w:rsidRPr="008E3394">
        <w:lastRenderedPageBreak/>
        <w:t>Sustainable growth</w:t>
      </w:r>
      <w:r w:rsidRPr="00337872">
        <w:t xml:space="preserve"> </w:t>
      </w:r>
    </w:p>
    <w:p w:rsidR="00F709F1" w:rsidRDefault="00F709F1"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AE0AE3">
        <w:t>urope</w:t>
      </w:r>
      <w:r>
        <w:t xml:space="preserve"> 2020 Strategy it means focus on competitiveness, resource efficiency, climate change and biodiversity.</w:t>
      </w:r>
    </w:p>
    <w:p w:rsidR="00F709F1" w:rsidRDefault="00512902" w:rsidP="00C21D13">
      <w:pPr>
        <w:rPr>
          <w:szCs w:val="20"/>
        </w:rPr>
      </w:pPr>
      <w:r>
        <w:rPr>
          <w:noProof/>
          <w:szCs w:val="20"/>
          <w:lang w:val="en-US"/>
        </w:rPr>
        <w:drawing>
          <wp:anchor distT="0" distB="0" distL="114300" distR="114300" simplePos="0" relativeHeight="251675136" behindDoc="1" locked="0" layoutInCell="1" allowOverlap="1">
            <wp:simplePos x="0" y="0"/>
            <wp:positionH relativeFrom="column">
              <wp:posOffset>17780</wp:posOffset>
            </wp:positionH>
            <wp:positionV relativeFrom="paragraph">
              <wp:posOffset>36195</wp:posOffset>
            </wp:positionV>
            <wp:extent cx="5276850" cy="3004185"/>
            <wp:effectExtent l="19050" t="0" r="0" b="0"/>
            <wp:wrapTight wrapText="bothSides">
              <wp:wrapPolygon edited="0">
                <wp:start x="-78" y="0"/>
                <wp:lineTo x="-78" y="21504"/>
                <wp:lineTo x="21600" y="21504"/>
                <wp:lineTo x="21600" y="0"/>
                <wp:lineTo x="-78" y="0"/>
              </wp:wrapPolygon>
            </wp:wrapTight>
            <wp:docPr id="3" name="Bild 2" descr="P:\LU_2011_ESPON_TerrEvi_100269\03_Project development\WorkinProgress_FactSheets\TL_CBC2\CBC Programme Italy_Mal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Italy_Malta 2.png"/>
                    <pic:cNvPicPr>
                      <a:picLocks noChangeAspect="1" noChangeArrowheads="1"/>
                    </pic:cNvPicPr>
                  </pic:nvPicPr>
                  <pic:blipFill>
                    <a:blip r:embed="rId13" cstate="print"/>
                    <a:srcRect/>
                    <a:stretch>
                      <a:fillRect/>
                    </a:stretch>
                  </pic:blipFill>
                  <pic:spPr bwMode="auto">
                    <a:xfrm>
                      <a:off x="0" y="0"/>
                      <a:ext cx="5276850" cy="3004185"/>
                    </a:xfrm>
                    <a:prstGeom prst="rect">
                      <a:avLst/>
                    </a:prstGeom>
                    <a:noFill/>
                    <a:ln w="9525">
                      <a:noFill/>
                      <a:miter lim="800000"/>
                      <a:headEnd/>
                      <a:tailEnd/>
                    </a:ln>
                  </pic:spPr>
                </pic:pic>
              </a:graphicData>
            </a:graphic>
          </wp:anchor>
        </w:drawing>
      </w:r>
    </w:p>
    <w:p w:rsidR="00F709F1" w:rsidRDefault="008B4E16" w:rsidP="00141222">
      <w:pPr>
        <w:rPr>
          <w:szCs w:val="20"/>
        </w:rPr>
      </w:pPr>
      <w:r>
        <w:rPr>
          <w:szCs w:val="20"/>
        </w:rPr>
        <w:t>The w</w:t>
      </w:r>
      <w:r w:rsidR="00F709F1" w:rsidRPr="009C7E22">
        <w:rPr>
          <w:szCs w:val="20"/>
        </w:rPr>
        <w:t>ind energy potential of the</w:t>
      </w:r>
      <w:r w:rsidR="00F709F1">
        <w:rPr>
          <w:szCs w:val="20"/>
        </w:rPr>
        <w:t xml:space="preserve"> </w:t>
      </w:r>
      <w:r w:rsidR="00F709F1" w:rsidRPr="009C7E22">
        <w:rPr>
          <w:szCs w:val="20"/>
        </w:rPr>
        <w:t>Italy</w:t>
      </w:r>
      <w:r w:rsidR="00F709F1">
        <w:rPr>
          <w:szCs w:val="20"/>
        </w:rPr>
        <w:t>-Malta CBC region is</w:t>
      </w:r>
      <w:r w:rsidR="00F709F1" w:rsidRPr="009C7E22">
        <w:rPr>
          <w:szCs w:val="20"/>
        </w:rPr>
        <w:t xml:space="preserve"> limited when compared to </w:t>
      </w:r>
      <w:r w:rsidR="008E3394">
        <w:rPr>
          <w:szCs w:val="20"/>
        </w:rPr>
        <w:t>the median value</w:t>
      </w:r>
      <w:r w:rsidR="00F709F1" w:rsidRPr="009C7E22">
        <w:rPr>
          <w:szCs w:val="20"/>
        </w:rPr>
        <w:t xml:space="preserve"> of the all CBC area</w:t>
      </w:r>
      <w:r>
        <w:rPr>
          <w:szCs w:val="20"/>
        </w:rPr>
        <w:t>s</w:t>
      </w:r>
      <w:r w:rsidR="00F03A81" w:rsidRPr="00F03A81">
        <w:rPr>
          <w:szCs w:val="20"/>
        </w:rPr>
        <w:t xml:space="preserve"> </w:t>
      </w:r>
      <w:r w:rsidR="00F03A81">
        <w:rPr>
          <w:szCs w:val="20"/>
        </w:rPr>
        <w:t>and similar to the EU-27+4</w:t>
      </w:r>
      <w:r w:rsidR="00F709F1" w:rsidRPr="009C7E22">
        <w:rPr>
          <w:szCs w:val="20"/>
        </w:rPr>
        <w:t xml:space="preserve">, but </w:t>
      </w:r>
      <w:r w:rsidR="008E3394">
        <w:rPr>
          <w:szCs w:val="20"/>
        </w:rPr>
        <w:t>it is higher than the relevant</w:t>
      </w:r>
      <w:r w:rsidR="00F709F1" w:rsidRPr="009C7E22">
        <w:rPr>
          <w:szCs w:val="20"/>
        </w:rPr>
        <w:t xml:space="preserve"> national</w:t>
      </w:r>
      <w:r w:rsidR="008E3394">
        <w:rPr>
          <w:szCs w:val="20"/>
        </w:rPr>
        <w:t xml:space="preserve"> values (in particular when compared to the level of Malta)</w:t>
      </w:r>
      <w:r w:rsidR="00F709F1" w:rsidRPr="009C7E22">
        <w:rPr>
          <w:szCs w:val="20"/>
        </w:rPr>
        <w:t>.</w:t>
      </w:r>
      <w:r w:rsidR="00F709F1">
        <w:rPr>
          <w:szCs w:val="20"/>
        </w:rPr>
        <w:t xml:space="preserve"> </w:t>
      </w:r>
      <w:r w:rsidR="008E3394">
        <w:rPr>
          <w:noProof/>
          <w:szCs w:val="20"/>
          <w:lang w:val="en-US"/>
        </w:rPr>
        <w:t>T</w:t>
      </w:r>
      <w:r w:rsidR="00F709F1" w:rsidRPr="009C7E22">
        <w:rPr>
          <w:noProof/>
          <w:szCs w:val="20"/>
          <w:lang w:val="en-US"/>
        </w:rPr>
        <w:t>he CBC me</w:t>
      </w:r>
      <w:r w:rsidR="00F709F1">
        <w:rPr>
          <w:noProof/>
          <w:szCs w:val="20"/>
          <w:lang w:val="en-US"/>
        </w:rPr>
        <w:t xml:space="preserve">dian </w:t>
      </w:r>
      <w:r w:rsidR="008E3394">
        <w:rPr>
          <w:noProof/>
          <w:szCs w:val="20"/>
          <w:lang w:val="en-US"/>
        </w:rPr>
        <w:t>of ozone concentration</w:t>
      </w:r>
      <w:r w:rsidR="00F709F1">
        <w:rPr>
          <w:noProof/>
          <w:szCs w:val="20"/>
          <w:lang w:val="en-US"/>
        </w:rPr>
        <w:t xml:space="preserve"> is considerably higher</w:t>
      </w:r>
      <w:r w:rsidR="00F709F1" w:rsidRPr="009C7E22">
        <w:rPr>
          <w:noProof/>
          <w:szCs w:val="20"/>
          <w:lang w:val="en-US"/>
        </w:rPr>
        <w:t xml:space="preserve"> than the EU-27+4 or all CBC areas</w:t>
      </w:r>
      <w:r w:rsidR="008E3394">
        <w:rPr>
          <w:noProof/>
          <w:szCs w:val="20"/>
          <w:lang w:val="en-US"/>
        </w:rPr>
        <w:t>’ median value</w:t>
      </w:r>
      <w:r w:rsidR="00F709F1" w:rsidRPr="009C7E22">
        <w:rPr>
          <w:noProof/>
          <w:szCs w:val="20"/>
          <w:lang w:val="en-US"/>
        </w:rPr>
        <w:t>.</w:t>
      </w:r>
      <w:r w:rsidR="008E3394">
        <w:rPr>
          <w:noProof/>
          <w:szCs w:val="20"/>
          <w:lang w:val="en-US"/>
        </w:rPr>
        <w:t xml:space="preserve"> However, it is similar to the level of Italy and not </w:t>
      </w:r>
      <w:r w:rsidR="00F03A81">
        <w:rPr>
          <w:noProof/>
          <w:szCs w:val="20"/>
          <w:lang w:val="en-US"/>
        </w:rPr>
        <w:t>somwhat</w:t>
      </w:r>
      <w:r w:rsidR="008E3394">
        <w:rPr>
          <w:noProof/>
          <w:szCs w:val="20"/>
          <w:lang w:val="en-US"/>
        </w:rPr>
        <w:t xml:space="preserve"> lower than the level of Malta.</w:t>
      </w:r>
      <w:r w:rsidR="00752B9A">
        <w:rPr>
          <w:noProof/>
          <w:szCs w:val="20"/>
          <w:lang w:val="en-US"/>
        </w:rPr>
        <w:t xml:space="preserve"> Disparities are high within the CBC area with regard to both indicators.</w:t>
      </w:r>
      <w:r w:rsidR="00F709F1">
        <w:rPr>
          <w:noProof/>
          <w:szCs w:val="20"/>
          <w:lang w:val="en-US"/>
        </w:rPr>
        <w:t xml:space="preserve"> </w:t>
      </w:r>
      <w:r w:rsidR="00A85BC9">
        <w:rPr>
          <w:noProof/>
          <w:szCs w:val="20"/>
          <w:lang w:val="en-US"/>
        </w:rPr>
        <w:t>No data is available</w:t>
      </w:r>
      <w:r w:rsidR="00F709F1">
        <w:rPr>
          <w:noProof/>
          <w:szCs w:val="20"/>
          <w:lang w:val="en-US"/>
        </w:rPr>
        <w:t xml:space="preserve"> for the </w:t>
      </w:r>
      <w:r w:rsidR="008E3394">
        <w:rPr>
          <w:noProof/>
          <w:szCs w:val="20"/>
          <w:lang w:val="en-US"/>
        </w:rPr>
        <w:t xml:space="preserve">level of potential </w:t>
      </w:r>
      <w:r w:rsidR="00F709F1">
        <w:rPr>
          <w:noProof/>
          <w:szCs w:val="20"/>
          <w:lang w:val="en-US"/>
        </w:rPr>
        <w:t>vulnerability to climate change for Malta</w:t>
      </w:r>
      <w:r w:rsidR="003614EF">
        <w:rPr>
          <w:noProof/>
          <w:szCs w:val="20"/>
          <w:lang w:val="en-US"/>
        </w:rPr>
        <w:t>, neiter for the border area itself</w:t>
      </w:r>
      <w:r w:rsidR="00F709F1">
        <w:rPr>
          <w:noProof/>
          <w:szCs w:val="20"/>
          <w:lang w:val="en-US"/>
        </w:rPr>
        <w:t>.</w:t>
      </w:r>
      <w:r w:rsidR="00F709F1" w:rsidRPr="00141222">
        <w:rPr>
          <w:szCs w:val="20"/>
        </w:rPr>
        <w:t xml:space="preserve"> </w:t>
      </w:r>
      <w:r w:rsidR="00F709F1" w:rsidRPr="00E13BE2">
        <w:rPr>
          <w:szCs w:val="20"/>
        </w:rPr>
        <w:t>When we consider the combined adapti</w:t>
      </w:r>
      <w:r w:rsidR="008E3394">
        <w:rPr>
          <w:szCs w:val="20"/>
        </w:rPr>
        <w:t>ve capacity of the NUTS3 border-</w:t>
      </w:r>
      <w:r w:rsidR="00F709F1" w:rsidRPr="00E13BE2">
        <w:rPr>
          <w:szCs w:val="20"/>
        </w:rPr>
        <w:t>regions to climate change (BOX-PLOT 1), we can see a</w:t>
      </w:r>
      <w:r w:rsidR="00F709F1">
        <w:rPr>
          <w:szCs w:val="20"/>
        </w:rPr>
        <w:t>n</w:t>
      </w:r>
      <w:r w:rsidR="00F709F1" w:rsidRPr="00E13BE2">
        <w:rPr>
          <w:szCs w:val="20"/>
        </w:rPr>
        <w:t xml:space="preserve"> </w:t>
      </w:r>
      <w:r w:rsidR="00F709F1">
        <w:rPr>
          <w:szCs w:val="20"/>
        </w:rPr>
        <w:t>opposite</w:t>
      </w:r>
      <w:r w:rsidR="00F709F1" w:rsidRPr="00E13BE2">
        <w:rPr>
          <w:szCs w:val="20"/>
        </w:rPr>
        <w:t xml:space="preserve"> picture at the two sides of the border</w:t>
      </w:r>
      <w:r w:rsidR="00F709F1">
        <w:rPr>
          <w:szCs w:val="20"/>
        </w:rPr>
        <w:t xml:space="preserve">. </w:t>
      </w:r>
      <w:r w:rsidR="008E3394">
        <w:rPr>
          <w:szCs w:val="20"/>
        </w:rPr>
        <w:t xml:space="preserve">While </w:t>
      </w:r>
      <w:r w:rsidR="00F709F1">
        <w:rPr>
          <w:szCs w:val="20"/>
        </w:rPr>
        <w:t>Malta (</w:t>
      </w:r>
      <w:r w:rsidR="00201624">
        <w:rPr>
          <w:szCs w:val="20"/>
        </w:rPr>
        <w:t>including</w:t>
      </w:r>
      <w:r w:rsidR="00F709F1">
        <w:rPr>
          <w:szCs w:val="20"/>
        </w:rPr>
        <w:t xml:space="preserve"> Gozo and Comino) has an average </w:t>
      </w:r>
      <w:r w:rsidR="00201624">
        <w:rPr>
          <w:szCs w:val="20"/>
        </w:rPr>
        <w:t xml:space="preserve">level of adaptive </w:t>
      </w:r>
      <w:r w:rsidR="00F709F1">
        <w:rPr>
          <w:szCs w:val="20"/>
        </w:rPr>
        <w:t xml:space="preserve">capacity in </w:t>
      </w:r>
      <w:r w:rsidR="00201624">
        <w:rPr>
          <w:szCs w:val="20"/>
        </w:rPr>
        <w:t>the EU</w:t>
      </w:r>
      <w:r w:rsidR="00F709F1">
        <w:rPr>
          <w:szCs w:val="20"/>
        </w:rPr>
        <w:t xml:space="preserve"> context</w:t>
      </w:r>
      <w:r w:rsidR="00201624">
        <w:rPr>
          <w:szCs w:val="20"/>
        </w:rPr>
        <w:t>;</w:t>
      </w:r>
      <w:r w:rsidR="00F709F1">
        <w:rPr>
          <w:szCs w:val="20"/>
        </w:rPr>
        <w:t xml:space="preserve"> all </w:t>
      </w:r>
      <w:r w:rsidR="00A85BC9">
        <w:rPr>
          <w:szCs w:val="20"/>
        </w:rPr>
        <w:t xml:space="preserve">the </w:t>
      </w:r>
      <w:r w:rsidR="00F709F1">
        <w:rPr>
          <w:szCs w:val="20"/>
        </w:rPr>
        <w:t>Italian NUTS3 regions</w:t>
      </w:r>
      <w:r w:rsidR="00201624">
        <w:rPr>
          <w:szCs w:val="20"/>
        </w:rPr>
        <w:t xml:space="preserve"> are among the potentially most vulnerable regions (i.e.</w:t>
      </w:r>
      <w:r w:rsidR="00F709F1">
        <w:rPr>
          <w:szCs w:val="20"/>
        </w:rPr>
        <w:t xml:space="preserve"> lower 25%</w:t>
      </w:r>
      <w:r w:rsidR="00F709F1" w:rsidRPr="009217A3">
        <w:rPr>
          <w:szCs w:val="20"/>
        </w:rPr>
        <w:t xml:space="preserve"> </w:t>
      </w:r>
      <w:r w:rsidR="00F709F1" w:rsidRPr="00E13BE2">
        <w:rPr>
          <w:szCs w:val="20"/>
        </w:rPr>
        <w:t>of all EU-27+4 and all CBC regions</w:t>
      </w:r>
      <w:r w:rsidR="003614EF">
        <w:rPr>
          <w:szCs w:val="20"/>
        </w:rPr>
        <w:t>)</w:t>
      </w:r>
      <w:r w:rsidR="00752B9A">
        <w:rPr>
          <w:szCs w:val="20"/>
        </w:rPr>
        <w:t xml:space="preserve">. </w:t>
      </w:r>
      <w:r w:rsidR="00F709F1" w:rsidRPr="00E13BE2">
        <w:rPr>
          <w:szCs w:val="20"/>
        </w:rPr>
        <w:t xml:space="preserve">Directive 11 seem to have no impact on fossil fuel consumption </w:t>
      </w:r>
      <w:r w:rsidR="00F709F1">
        <w:rPr>
          <w:szCs w:val="20"/>
        </w:rPr>
        <w:t>in the</w:t>
      </w:r>
      <w:r w:rsidR="00A85BC9">
        <w:rPr>
          <w:szCs w:val="20"/>
        </w:rPr>
        <w:t xml:space="preserve"> Italy-Malta</w:t>
      </w:r>
      <w:r w:rsidR="00F709F1">
        <w:rPr>
          <w:szCs w:val="20"/>
        </w:rPr>
        <w:t xml:space="preserve"> CBC </w:t>
      </w:r>
      <w:r w:rsidR="00752B9A">
        <w:rPr>
          <w:szCs w:val="20"/>
        </w:rPr>
        <w:t>programme-</w:t>
      </w:r>
      <w:r w:rsidR="00A85BC9">
        <w:rPr>
          <w:szCs w:val="20"/>
        </w:rPr>
        <w:t>area</w:t>
      </w:r>
      <w:r w:rsidR="00F709F1">
        <w:rPr>
          <w:szCs w:val="20"/>
        </w:rPr>
        <w:t xml:space="preserve"> </w:t>
      </w:r>
      <w:r w:rsidR="00F709F1" w:rsidRPr="00E13BE2">
        <w:rPr>
          <w:szCs w:val="20"/>
        </w:rPr>
        <w:t>(MAP 2)</w:t>
      </w:r>
      <w:r w:rsidR="00F709F1">
        <w:rPr>
          <w:szCs w:val="20"/>
        </w:rPr>
        <w:t>.</w:t>
      </w:r>
    </w:p>
    <w:p w:rsidR="00F709F1" w:rsidRPr="00141222" w:rsidRDefault="00F709F1" w:rsidP="00141222">
      <w:pPr>
        <w:rPr>
          <w:szCs w:val="20"/>
        </w:rPr>
      </w:pPr>
      <w:r>
        <w:br w:type="page"/>
      </w:r>
    </w:p>
    <w:p w:rsidR="00F709F1" w:rsidRPr="00C33A99" w:rsidRDefault="00F709F1"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Italy – Malta</w:t>
      </w:r>
    </w:p>
    <w:p w:rsidR="00F709F1" w:rsidRDefault="00F709F1" w:rsidP="00D26713">
      <w:pPr>
        <w:spacing w:after="0" w:line="240" w:lineRule="auto"/>
        <w:rPr>
          <w:noProof/>
          <w:lang w:eastAsia="en-GB"/>
        </w:rPr>
      </w:pPr>
    </w:p>
    <w:p w:rsidR="00F709F1" w:rsidRDefault="001831A8" w:rsidP="00D26713">
      <w:pPr>
        <w:spacing w:after="0" w:line="240" w:lineRule="auto"/>
        <w:rPr>
          <w:noProof/>
          <w:lang w:eastAsia="en-GB"/>
        </w:rPr>
      </w:pPr>
      <w:r w:rsidRPr="001831A8">
        <w:rPr>
          <w:noProof/>
          <w:lang w:val="de-DE" w:eastAsia="de-DE"/>
        </w:rPr>
        <w:pict>
          <v:oval id="_x0000_s1045" style="position:absolute;left:0;text-align:left;margin-left:200.95pt;margin-top:317.65pt;width:45.3pt;height:27.45pt;rotation:1872796fd;z-index:251666944" filled="f" strokecolor="#0070c0" strokeweight="2pt"/>
        </w:pict>
      </w:r>
      <w:r w:rsidR="00056F7F">
        <w:rPr>
          <w:noProof/>
          <w:lang w:val="en-US"/>
        </w:rPr>
        <w:drawing>
          <wp:inline distT="0" distB="0" distL="0" distR="0">
            <wp:extent cx="5278755" cy="5814630"/>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F709F1" w:rsidRDefault="00F709F1" w:rsidP="00D26713"/>
    <w:p w:rsidR="00F709F1" w:rsidRDefault="00F709F1">
      <w:pPr>
        <w:spacing w:after="0" w:line="240" w:lineRule="auto"/>
        <w:jc w:val="left"/>
      </w:pPr>
      <w:r>
        <w:br w:type="page"/>
      </w:r>
    </w:p>
    <w:p w:rsidR="00F709F1" w:rsidRDefault="00F709F1" w:rsidP="005A5FC4">
      <w:pPr>
        <w:rPr>
          <w:b/>
        </w:rPr>
      </w:pPr>
      <w:r w:rsidRPr="001F16DB">
        <w:rPr>
          <w:b/>
        </w:rPr>
        <w:lastRenderedPageBreak/>
        <w:t>BOX-PLOT 1 – Combined adaptive capacity to climate change (ESPON CLIMATE project) for the CBC Italy – Malta</w:t>
      </w:r>
    </w:p>
    <w:p w:rsidR="0011670B" w:rsidRPr="00021CAB" w:rsidRDefault="0011670B" w:rsidP="0011670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709F1" w:rsidRDefault="00474B1E" w:rsidP="006E618B">
      <w:pPr>
        <w:spacing w:after="0" w:line="240" w:lineRule="auto"/>
        <w:rPr>
          <w:noProof/>
          <w:lang w:eastAsia="en-GB"/>
        </w:rPr>
      </w:pPr>
      <w:r>
        <w:rPr>
          <w:noProof/>
          <w:lang w:val="en-US"/>
        </w:rPr>
        <w:drawing>
          <wp:inline distT="0" distB="0" distL="0" distR="0">
            <wp:extent cx="5262880" cy="421640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5262880" cy="4216400"/>
                    </a:xfrm>
                    <a:prstGeom prst="rect">
                      <a:avLst/>
                    </a:prstGeom>
                    <a:noFill/>
                    <a:ln w="9525">
                      <a:noFill/>
                      <a:miter lim="800000"/>
                      <a:headEnd/>
                      <a:tailEnd/>
                    </a:ln>
                  </pic:spPr>
                </pic:pic>
              </a:graphicData>
            </a:graphic>
          </wp:inline>
        </w:drawing>
      </w:r>
    </w:p>
    <w:p w:rsidR="00F709F1" w:rsidRPr="006F0BC4" w:rsidRDefault="00F709F1"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F709F1" w:rsidRPr="006F0BC4" w:rsidRDefault="00F709F1"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F709F1" w:rsidRPr="006F0BC4" w:rsidRDefault="00F709F1"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F709F1" w:rsidRPr="006F0BC4" w:rsidRDefault="00F709F1"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F709F1" w:rsidRDefault="00F709F1" w:rsidP="006E618B">
      <w:pPr>
        <w:spacing w:after="0" w:line="240" w:lineRule="auto"/>
        <w:rPr>
          <w:noProof/>
          <w:lang w:eastAsia="en-GB"/>
        </w:rPr>
      </w:pPr>
    </w:p>
    <w:p w:rsidR="00F709F1" w:rsidRDefault="00F709F1">
      <w:pPr>
        <w:spacing w:after="0" w:line="240" w:lineRule="auto"/>
        <w:jc w:val="left"/>
        <w:rPr>
          <w:noProof/>
          <w:lang w:eastAsia="en-GB"/>
        </w:rPr>
      </w:pPr>
      <w:r>
        <w:rPr>
          <w:noProof/>
          <w:lang w:eastAsia="en-GB"/>
        </w:rPr>
        <w:br w:type="page"/>
      </w:r>
    </w:p>
    <w:p w:rsidR="00F709F1" w:rsidRDefault="00F709F1" w:rsidP="00B135A2">
      <w:pPr>
        <w:pStyle w:val="Heading3"/>
      </w:pPr>
      <w:r w:rsidRPr="00752B9A">
        <w:lastRenderedPageBreak/>
        <w:t>Inclusive growth</w:t>
      </w:r>
      <w:r>
        <w:t xml:space="preserve"> </w:t>
      </w:r>
    </w:p>
    <w:p w:rsidR="00F709F1" w:rsidRDefault="00512902" w:rsidP="00B135A2">
      <w:r>
        <w:rPr>
          <w:noProof/>
          <w:lang w:val="en-US"/>
        </w:rPr>
        <w:drawing>
          <wp:anchor distT="0" distB="0" distL="114300" distR="114300" simplePos="0" relativeHeight="251676160" behindDoc="1" locked="0" layoutInCell="1" allowOverlap="1">
            <wp:simplePos x="0" y="0"/>
            <wp:positionH relativeFrom="column">
              <wp:posOffset>-26035</wp:posOffset>
            </wp:positionH>
            <wp:positionV relativeFrom="paragraph">
              <wp:posOffset>1177290</wp:posOffset>
            </wp:positionV>
            <wp:extent cx="5276850" cy="2576830"/>
            <wp:effectExtent l="19050" t="0" r="0" b="0"/>
            <wp:wrapTight wrapText="bothSides">
              <wp:wrapPolygon edited="0">
                <wp:start x="-78" y="0"/>
                <wp:lineTo x="-78" y="21398"/>
                <wp:lineTo x="21600" y="21398"/>
                <wp:lineTo x="21600" y="0"/>
                <wp:lineTo x="-78" y="0"/>
              </wp:wrapPolygon>
            </wp:wrapTight>
            <wp:docPr id="5" name="Bild 3" descr="P:\LU_2011_ESPON_TerrEvi_100269\03_Project development\WorkinProgress_FactSheets\TL_CBC2\CBC Programme Italy_Malt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Italy_Malta 3.png"/>
                    <pic:cNvPicPr>
                      <a:picLocks noChangeAspect="1" noChangeArrowheads="1"/>
                    </pic:cNvPicPr>
                  </pic:nvPicPr>
                  <pic:blipFill>
                    <a:blip r:embed="rId16" cstate="print"/>
                    <a:srcRect/>
                    <a:stretch>
                      <a:fillRect/>
                    </a:stretch>
                  </pic:blipFill>
                  <pic:spPr bwMode="auto">
                    <a:xfrm>
                      <a:off x="0" y="0"/>
                      <a:ext cx="5276850" cy="2576830"/>
                    </a:xfrm>
                    <a:prstGeom prst="rect">
                      <a:avLst/>
                    </a:prstGeom>
                    <a:noFill/>
                    <a:ln w="9525">
                      <a:noFill/>
                      <a:miter lim="800000"/>
                      <a:headEnd/>
                      <a:tailEnd/>
                    </a:ln>
                  </pic:spPr>
                </pic:pic>
              </a:graphicData>
            </a:graphic>
          </wp:anchor>
        </w:drawing>
      </w:r>
      <w:r w:rsidR="00F709F1">
        <w:t xml:space="preserve">Inclusive growth refers to </w:t>
      </w:r>
      <w:r w:rsidR="00F709F1" w:rsidRPr="00151954">
        <w:t>fostering a high-employment economy delivering social and territorial cohesion.</w:t>
      </w:r>
      <w:r w:rsidR="00F709F1">
        <w:t xml:space="preserve"> Within the Europe 2020 Strategy it means </w:t>
      </w:r>
      <w:r w:rsidR="00F709F1" w:rsidRPr="00151954">
        <w:t>raising Europe’s employment rate, helping people of all ages anticipate and manage change through investment in skills &amp; training, modernising labour markets and welfare systems, and ensuring the benefits of growth reach all parts of the EU</w:t>
      </w:r>
      <w:r w:rsidR="00F709F1">
        <w:t>. In short the key factors are employment and avoiding risk of poverty and social exclusion.</w:t>
      </w:r>
    </w:p>
    <w:p w:rsidR="00F709F1" w:rsidRDefault="00F709F1" w:rsidP="00B135A2"/>
    <w:p w:rsidR="00F709F1" w:rsidRDefault="00752B9A" w:rsidP="00700FBC">
      <w:pPr>
        <w:rPr>
          <w:szCs w:val="20"/>
        </w:rPr>
      </w:pPr>
      <w:r>
        <w:rPr>
          <w:noProof/>
          <w:szCs w:val="20"/>
          <w:lang w:eastAsia="en-GB"/>
        </w:rPr>
        <w:t>Looking at the selected employment indicators it</w:t>
      </w:r>
      <w:r w:rsidR="00F709F1">
        <w:rPr>
          <w:noProof/>
          <w:szCs w:val="20"/>
          <w:lang w:eastAsia="en-GB"/>
        </w:rPr>
        <w:t xml:space="preserve"> can be stated that the</w:t>
      </w:r>
      <w:r w:rsidR="00F709F1" w:rsidRPr="00A72D4C">
        <w:rPr>
          <w:noProof/>
          <w:szCs w:val="20"/>
          <w:lang w:eastAsia="en-GB"/>
        </w:rPr>
        <w:t xml:space="preserve"> CBC area of </w:t>
      </w:r>
      <w:r w:rsidR="00F709F1">
        <w:rPr>
          <w:noProof/>
          <w:szCs w:val="20"/>
          <w:lang w:eastAsia="en-GB"/>
        </w:rPr>
        <w:t>Italy</w:t>
      </w:r>
      <w:r w:rsidR="00F709F1" w:rsidRPr="00A72D4C">
        <w:rPr>
          <w:noProof/>
          <w:szCs w:val="20"/>
          <w:lang w:eastAsia="en-GB"/>
        </w:rPr>
        <w:t>-</w:t>
      </w:r>
      <w:r w:rsidR="00F709F1">
        <w:rPr>
          <w:noProof/>
          <w:szCs w:val="20"/>
          <w:lang w:eastAsia="en-GB"/>
        </w:rPr>
        <w:t xml:space="preserve">Malta </w:t>
      </w:r>
      <w:r>
        <w:rPr>
          <w:noProof/>
          <w:szCs w:val="20"/>
          <w:lang w:eastAsia="en-GB"/>
        </w:rPr>
        <w:t xml:space="preserve">shows significantly higher rates of long-term unemployment </w:t>
      </w:r>
      <w:r w:rsidR="00F709F1" w:rsidRPr="00A72D4C">
        <w:rPr>
          <w:noProof/>
          <w:szCs w:val="20"/>
          <w:lang w:eastAsia="en-GB"/>
        </w:rPr>
        <w:t>and persons at risk of po</w:t>
      </w:r>
      <w:r w:rsidR="00F709F1">
        <w:rPr>
          <w:noProof/>
          <w:szCs w:val="20"/>
          <w:lang w:eastAsia="en-GB"/>
        </w:rPr>
        <w:t>verty compared to the EU27+4</w:t>
      </w:r>
      <w:r>
        <w:rPr>
          <w:noProof/>
          <w:szCs w:val="20"/>
          <w:lang w:eastAsia="en-GB"/>
        </w:rPr>
        <w:t>,</w:t>
      </w:r>
      <w:r w:rsidR="00F709F1" w:rsidRPr="00A72D4C">
        <w:rPr>
          <w:noProof/>
          <w:szCs w:val="20"/>
          <w:lang w:eastAsia="en-GB"/>
        </w:rPr>
        <w:t xml:space="preserve"> </w:t>
      </w:r>
      <w:r w:rsidR="00F709F1">
        <w:rPr>
          <w:noProof/>
          <w:szCs w:val="20"/>
          <w:lang w:eastAsia="en-GB"/>
        </w:rPr>
        <w:t>to</w:t>
      </w:r>
      <w:r w:rsidR="00F709F1" w:rsidRPr="00A72D4C">
        <w:rPr>
          <w:noProof/>
          <w:szCs w:val="20"/>
          <w:lang w:eastAsia="en-GB"/>
        </w:rPr>
        <w:t xml:space="preserve"> </w:t>
      </w:r>
      <w:r w:rsidR="00F709F1">
        <w:rPr>
          <w:noProof/>
          <w:szCs w:val="20"/>
          <w:lang w:eastAsia="en-GB"/>
        </w:rPr>
        <w:t>all</w:t>
      </w:r>
      <w:r w:rsidR="00F709F1" w:rsidRPr="00A72D4C">
        <w:rPr>
          <w:noProof/>
          <w:szCs w:val="20"/>
          <w:lang w:eastAsia="en-GB"/>
        </w:rPr>
        <w:t xml:space="preserve"> CBC regions</w:t>
      </w:r>
      <w:r w:rsidR="00F709F1">
        <w:rPr>
          <w:noProof/>
          <w:szCs w:val="20"/>
          <w:lang w:eastAsia="en-GB"/>
        </w:rPr>
        <w:t xml:space="preserve"> and to national rates as well</w:t>
      </w:r>
      <w:r w:rsidR="00F709F1" w:rsidRPr="00A72D4C">
        <w:rPr>
          <w:noProof/>
          <w:szCs w:val="20"/>
          <w:lang w:eastAsia="en-GB"/>
        </w:rPr>
        <w:t>.</w:t>
      </w:r>
      <w:r w:rsidR="00F709F1">
        <w:rPr>
          <w:noProof/>
          <w:szCs w:val="20"/>
          <w:lang w:eastAsia="en-GB"/>
        </w:rPr>
        <w:t xml:space="preserve"> </w:t>
      </w:r>
      <w:r>
        <w:rPr>
          <w:noProof/>
          <w:szCs w:val="20"/>
          <w:lang w:eastAsia="en-GB"/>
        </w:rPr>
        <w:t xml:space="preserve">There is </w:t>
      </w:r>
      <w:r w:rsidR="003614EF">
        <w:rPr>
          <w:noProof/>
          <w:szCs w:val="20"/>
          <w:lang w:eastAsia="en-GB"/>
        </w:rPr>
        <w:t xml:space="preserve">also </w:t>
      </w:r>
      <w:r>
        <w:rPr>
          <w:noProof/>
          <w:szCs w:val="20"/>
          <w:lang w:eastAsia="en-GB"/>
        </w:rPr>
        <w:t>relatively few</w:t>
      </w:r>
      <w:r w:rsidR="00F709F1">
        <w:rPr>
          <w:noProof/>
          <w:szCs w:val="20"/>
          <w:lang w:eastAsia="en-GB"/>
        </w:rPr>
        <w:t xml:space="preserve"> </w:t>
      </w:r>
      <w:r w:rsidR="00F709F1" w:rsidRPr="00FA0724">
        <w:rPr>
          <w:szCs w:val="20"/>
        </w:rPr>
        <w:t>persons aged 20-64 with upper secondary or tertiary education</w:t>
      </w:r>
      <w:r w:rsidR="00F709F1">
        <w:rPr>
          <w:szCs w:val="20"/>
        </w:rPr>
        <w:t xml:space="preserve"> </w:t>
      </w:r>
      <w:r>
        <w:rPr>
          <w:szCs w:val="20"/>
        </w:rPr>
        <w:t>when compared to the international or the Italian contexts; while this rate</w:t>
      </w:r>
      <w:r w:rsidR="00F709F1">
        <w:rPr>
          <w:szCs w:val="20"/>
        </w:rPr>
        <w:t xml:space="preserve"> is </w:t>
      </w:r>
      <w:r w:rsidR="003614EF">
        <w:rPr>
          <w:szCs w:val="20"/>
        </w:rPr>
        <w:t>not much higher than the</w:t>
      </w:r>
      <w:r>
        <w:rPr>
          <w:szCs w:val="20"/>
        </w:rPr>
        <w:t xml:space="preserve"> </w:t>
      </w:r>
      <w:r w:rsidR="003614EF">
        <w:rPr>
          <w:szCs w:val="20"/>
        </w:rPr>
        <w:t>median</w:t>
      </w:r>
      <w:r w:rsidR="00744B81">
        <w:rPr>
          <w:szCs w:val="20"/>
        </w:rPr>
        <w:t xml:space="preserve"> of</w:t>
      </w:r>
      <w:r>
        <w:rPr>
          <w:szCs w:val="20"/>
        </w:rPr>
        <w:t xml:space="preserve"> Malta</w:t>
      </w:r>
      <w:r w:rsidR="00F709F1">
        <w:rPr>
          <w:szCs w:val="20"/>
        </w:rPr>
        <w:t xml:space="preserve">. There </w:t>
      </w:r>
      <w:r>
        <w:rPr>
          <w:szCs w:val="20"/>
        </w:rPr>
        <w:t>is</w:t>
      </w:r>
      <w:r w:rsidR="00F709F1">
        <w:rPr>
          <w:szCs w:val="20"/>
        </w:rPr>
        <w:t xml:space="preserve"> no data available for the employment </w:t>
      </w:r>
      <w:r>
        <w:rPr>
          <w:szCs w:val="20"/>
        </w:rPr>
        <w:t>rate in 2010 in Malta</w:t>
      </w:r>
      <w:r w:rsidR="003614EF">
        <w:rPr>
          <w:szCs w:val="20"/>
        </w:rPr>
        <w:t>. Whereas, according to BOX-PLOT 2, the</w:t>
      </w:r>
      <w:r>
        <w:rPr>
          <w:szCs w:val="20"/>
        </w:rPr>
        <w:t xml:space="preserve"> level of employment was particularly low in the </w:t>
      </w:r>
      <w:r w:rsidR="003614EF">
        <w:rPr>
          <w:szCs w:val="20"/>
        </w:rPr>
        <w:t xml:space="preserve">Italian </w:t>
      </w:r>
      <w:r>
        <w:rPr>
          <w:szCs w:val="20"/>
        </w:rPr>
        <w:t xml:space="preserve">regions of </w:t>
      </w:r>
      <w:r w:rsidR="00F709F1">
        <w:rPr>
          <w:szCs w:val="20"/>
        </w:rPr>
        <w:t>Trapani, Caltanissetta, Agrigento</w:t>
      </w:r>
      <w:r w:rsidR="00744B81">
        <w:rPr>
          <w:szCs w:val="20"/>
        </w:rPr>
        <w:t>;</w:t>
      </w:r>
      <w:r>
        <w:rPr>
          <w:szCs w:val="20"/>
        </w:rPr>
        <w:t xml:space="preserve"> while for the</w:t>
      </w:r>
      <w:r w:rsidR="00F709F1">
        <w:rPr>
          <w:szCs w:val="20"/>
        </w:rPr>
        <w:t xml:space="preserve"> NUTS3 regions of Ragusa and Siracusa </w:t>
      </w:r>
      <w:r w:rsidR="003614EF">
        <w:rPr>
          <w:szCs w:val="20"/>
        </w:rPr>
        <w:t>it was</w:t>
      </w:r>
      <w:r w:rsidR="00F709F1">
        <w:rPr>
          <w:szCs w:val="20"/>
        </w:rPr>
        <w:t xml:space="preserve"> at an average level.</w:t>
      </w:r>
    </w:p>
    <w:p w:rsidR="00F709F1" w:rsidRPr="00FA0724" w:rsidRDefault="00F709F1" w:rsidP="00700FBC">
      <w:pPr>
        <w:rPr>
          <w:szCs w:val="20"/>
        </w:rPr>
      </w:pPr>
      <w:r>
        <w:rPr>
          <w:szCs w:val="20"/>
        </w:rPr>
        <w:t>All</w:t>
      </w:r>
      <w:r w:rsidRPr="002C7F41">
        <w:rPr>
          <w:szCs w:val="20"/>
        </w:rPr>
        <w:t xml:space="preserve"> four scenarios of th</w:t>
      </w:r>
      <w:r w:rsidR="003614EF">
        <w:rPr>
          <w:szCs w:val="20"/>
        </w:rPr>
        <w:t>e ESPON DEMIFER project foresee</w:t>
      </w:r>
      <w:r w:rsidRPr="002C7F41">
        <w:rPr>
          <w:szCs w:val="20"/>
        </w:rPr>
        <w:t xml:space="preserve"> negative changes in the labour force until 2050 for the </w:t>
      </w:r>
      <w:r>
        <w:rPr>
          <w:szCs w:val="20"/>
        </w:rPr>
        <w:t>Italian</w:t>
      </w:r>
      <w:r w:rsidRPr="002C7F41">
        <w:rPr>
          <w:szCs w:val="20"/>
        </w:rPr>
        <w:t xml:space="preserve"> border regions</w:t>
      </w:r>
      <w:r w:rsidR="00752B9A">
        <w:rPr>
          <w:szCs w:val="20"/>
        </w:rPr>
        <w:t>, ranging</w:t>
      </w:r>
      <w:r>
        <w:rPr>
          <w:szCs w:val="20"/>
        </w:rPr>
        <w:t xml:space="preserve"> from low-level changes </w:t>
      </w:r>
      <w:r w:rsidR="00752B9A">
        <w:rPr>
          <w:szCs w:val="20"/>
        </w:rPr>
        <w:t>according to</w:t>
      </w:r>
      <w:r>
        <w:rPr>
          <w:szCs w:val="20"/>
        </w:rPr>
        <w:t xml:space="preserve"> </w:t>
      </w:r>
      <w:r w:rsidR="00752B9A">
        <w:rPr>
          <w:szCs w:val="20"/>
        </w:rPr>
        <w:t xml:space="preserve">the </w:t>
      </w:r>
      <w:r>
        <w:rPr>
          <w:szCs w:val="20"/>
        </w:rPr>
        <w:t xml:space="preserve">‘Growing Social Europe’ </w:t>
      </w:r>
      <w:r w:rsidR="00744B81">
        <w:rPr>
          <w:szCs w:val="20"/>
        </w:rPr>
        <w:t>scenario</w:t>
      </w:r>
      <w:r w:rsidR="00752B9A">
        <w:rPr>
          <w:szCs w:val="20"/>
        </w:rPr>
        <w:t xml:space="preserve">, </w:t>
      </w:r>
      <w:r>
        <w:rPr>
          <w:szCs w:val="20"/>
        </w:rPr>
        <w:t xml:space="preserve">to high-level </w:t>
      </w:r>
      <w:r w:rsidR="00752B9A">
        <w:rPr>
          <w:szCs w:val="20"/>
        </w:rPr>
        <w:t>changes according to the</w:t>
      </w:r>
      <w:r>
        <w:rPr>
          <w:szCs w:val="20"/>
        </w:rPr>
        <w:t xml:space="preserve"> ‘Limited Social Europe’ </w:t>
      </w:r>
      <w:r w:rsidR="00752B9A">
        <w:rPr>
          <w:szCs w:val="20"/>
        </w:rPr>
        <w:t xml:space="preserve">scenario </w:t>
      </w:r>
      <w:r>
        <w:rPr>
          <w:szCs w:val="20"/>
        </w:rPr>
        <w:t xml:space="preserve">(with medium-level </w:t>
      </w:r>
      <w:r w:rsidR="003614EF">
        <w:rPr>
          <w:szCs w:val="20"/>
        </w:rPr>
        <w:t>decrease according to the</w:t>
      </w:r>
      <w:r>
        <w:rPr>
          <w:szCs w:val="20"/>
        </w:rPr>
        <w:t xml:space="preserve"> scenarios</w:t>
      </w:r>
      <w:r w:rsidR="003614EF">
        <w:rPr>
          <w:szCs w:val="20"/>
        </w:rPr>
        <w:t xml:space="preserve"> of</w:t>
      </w:r>
      <w:r>
        <w:rPr>
          <w:szCs w:val="20"/>
        </w:rPr>
        <w:t xml:space="preserve"> ‘Challenged Market Europe’ and ‘Expanding Market Europe’).</w:t>
      </w:r>
    </w:p>
    <w:p w:rsidR="00F709F1" w:rsidRDefault="00F709F1" w:rsidP="00B135A2"/>
    <w:p w:rsidR="00F709F1" w:rsidRDefault="00F709F1" w:rsidP="00B135A2"/>
    <w:p w:rsidR="00F709F1" w:rsidRDefault="00F709F1" w:rsidP="00B135A2"/>
    <w:p w:rsidR="00F709F1" w:rsidRDefault="00F709F1">
      <w:pPr>
        <w:spacing w:after="0" w:line="240" w:lineRule="auto"/>
        <w:jc w:val="left"/>
        <w:rPr>
          <w:noProof/>
          <w:lang w:eastAsia="en-GB"/>
        </w:rPr>
      </w:pPr>
      <w:r>
        <w:rPr>
          <w:noProof/>
          <w:lang w:eastAsia="en-GB"/>
        </w:rPr>
        <w:br w:type="page"/>
      </w:r>
    </w:p>
    <w:p w:rsidR="00F709F1" w:rsidRPr="00C33A99" w:rsidRDefault="00F709F1" w:rsidP="005A5FC4">
      <w:pPr>
        <w:rPr>
          <w:b/>
        </w:rPr>
      </w:pPr>
      <w:r>
        <w:rPr>
          <w:b/>
        </w:rPr>
        <w:lastRenderedPageBreak/>
        <w:t xml:space="preserve">MAP 3 – </w:t>
      </w:r>
      <w:r w:rsidRPr="00C33A99">
        <w:rPr>
          <w:b/>
        </w:rPr>
        <w:t>Change in Labour Force 2005-2050 (ESPON DEMIFER project)</w:t>
      </w:r>
      <w:r>
        <w:rPr>
          <w:b/>
        </w:rPr>
        <w:t xml:space="preserve"> for the CBC Italy – Malta</w:t>
      </w:r>
    </w:p>
    <w:p w:rsidR="00F709F1" w:rsidRDefault="00F709F1" w:rsidP="0089569C">
      <w:pPr>
        <w:spacing w:after="0" w:line="240" w:lineRule="auto"/>
        <w:rPr>
          <w:noProof/>
          <w:lang w:eastAsia="en-GB"/>
        </w:rPr>
      </w:pPr>
    </w:p>
    <w:p w:rsidR="00F709F1" w:rsidRDefault="001831A8" w:rsidP="0089569C">
      <w:pPr>
        <w:spacing w:after="0" w:line="240" w:lineRule="auto"/>
        <w:rPr>
          <w:noProof/>
          <w:lang w:eastAsia="en-GB"/>
        </w:rPr>
      </w:pPr>
      <w:r w:rsidRPr="001831A8">
        <w:rPr>
          <w:noProof/>
          <w:lang w:val="de-DE" w:eastAsia="de-DE"/>
        </w:rPr>
        <w:pict>
          <v:oval id="_x0000_s1048" style="position:absolute;left:0;text-align:left;margin-left:100.05pt;margin-top:391.95pt;width:26.95pt;height:16.35pt;rotation:1872796fd;z-index:251670016" filled="f" strokecolor="#0070c0" strokeweight="2pt"/>
        </w:pict>
      </w:r>
      <w:r w:rsidRPr="001831A8">
        <w:rPr>
          <w:noProof/>
          <w:lang w:val="de-DE" w:eastAsia="de-DE"/>
        </w:rPr>
        <w:pict>
          <v:oval id="_x0000_s1049" style="position:absolute;left:0;text-align:left;margin-left:298.75pt;margin-top:391.95pt;width:26.95pt;height:16.35pt;rotation:1872796fd;z-index:251671040" filled="f" strokecolor="#0070c0" strokeweight="2pt"/>
        </w:pict>
      </w:r>
      <w:r w:rsidRPr="001831A8">
        <w:rPr>
          <w:noProof/>
          <w:lang w:val="de-DE" w:eastAsia="de-DE"/>
        </w:rPr>
        <w:pict>
          <v:oval id="_x0000_s1047" style="position:absolute;left:0;text-align:left;margin-left:297.9pt;margin-top:186.2pt;width:26.95pt;height:16.35pt;rotation:1872796fd;z-index:251668992" filled="f" strokecolor="#0070c0" strokeweight="2pt"/>
        </w:pict>
      </w:r>
      <w:r w:rsidRPr="001831A8">
        <w:rPr>
          <w:noProof/>
          <w:lang w:val="de-DE" w:eastAsia="de-DE"/>
        </w:rPr>
        <w:pict>
          <v:oval id="_x0000_s1046" style="position:absolute;left:0;text-align:left;margin-left:100.9pt;margin-top:187.9pt;width:26.95pt;height:16.35pt;rotation:1872796fd;z-index:251667968" filled="f" strokecolor="#0070c0" strokeweight="2pt"/>
        </w:pict>
      </w:r>
      <w:r w:rsidR="0083743B">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F709F1" w:rsidRDefault="00F709F1" w:rsidP="0089569C">
      <w:pPr>
        <w:spacing w:after="0" w:line="240" w:lineRule="auto"/>
        <w:rPr>
          <w:noProof/>
          <w:lang w:eastAsia="en-GB"/>
        </w:rPr>
      </w:pPr>
    </w:p>
    <w:p w:rsidR="00F709F1" w:rsidRDefault="00F709F1">
      <w:pPr>
        <w:spacing w:after="0" w:line="240" w:lineRule="auto"/>
        <w:jc w:val="left"/>
        <w:rPr>
          <w:noProof/>
          <w:lang w:eastAsia="en-GB"/>
        </w:rPr>
      </w:pPr>
      <w:r>
        <w:rPr>
          <w:noProof/>
          <w:lang w:eastAsia="en-GB"/>
        </w:rPr>
        <w:br w:type="page"/>
      </w:r>
    </w:p>
    <w:p w:rsidR="00F709F1" w:rsidRDefault="00F709F1" w:rsidP="00D30230">
      <w:pPr>
        <w:rPr>
          <w:i/>
          <w:noProof/>
          <w:lang w:eastAsia="en-GB"/>
        </w:rPr>
      </w:pPr>
      <w:r w:rsidRPr="001F16DB">
        <w:rPr>
          <w:b/>
        </w:rPr>
        <w:lastRenderedPageBreak/>
        <w:t>BOX-PLOT 2 – Employment rate 2010 within the CBC Italy – Malta</w:t>
      </w:r>
    </w:p>
    <w:p w:rsidR="00F709F1" w:rsidRDefault="00474B1E" w:rsidP="00D30230">
      <w:pPr>
        <w:rPr>
          <w:i/>
          <w:noProof/>
          <w:lang w:eastAsia="en-GB"/>
        </w:rPr>
      </w:pPr>
      <w:r>
        <w:rPr>
          <w:noProof/>
          <w:lang w:val="en-US"/>
        </w:rPr>
        <w:drawing>
          <wp:anchor distT="0" distB="0" distL="114300" distR="114300" simplePos="0" relativeHeight="251664896" behindDoc="1" locked="0" layoutInCell="1" allowOverlap="1">
            <wp:simplePos x="0" y="0"/>
            <wp:positionH relativeFrom="column">
              <wp:posOffset>-8255</wp:posOffset>
            </wp:positionH>
            <wp:positionV relativeFrom="paragraph">
              <wp:posOffset>70485</wp:posOffset>
            </wp:positionV>
            <wp:extent cx="5284470" cy="4222750"/>
            <wp:effectExtent l="25400" t="0" r="0" b="0"/>
            <wp:wrapTight wrapText="bothSides">
              <wp:wrapPolygon edited="0">
                <wp:start x="-104" y="0"/>
                <wp:lineTo x="-104" y="21568"/>
                <wp:lineTo x="21595" y="21568"/>
                <wp:lineTo x="21595" y="0"/>
                <wp:lineTo x="-104" y="0"/>
              </wp:wrapPolygon>
            </wp:wrapTight>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cstate="print"/>
                    <a:srcRect/>
                    <a:stretch>
                      <a:fillRect/>
                    </a:stretch>
                  </pic:blipFill>
                  <pic:spPr bwMode="auto">
                    <a:xfrm>
                      <a:off x="0" y="0"/>
                      <a:ext cx="5284470" cy="4222750"/>
                    </a:xfrm>
                    <a:prstGeom prst="rect">
                      <a:avLst/>
                    </a:prstGeom>
                    <a:noFill/>
                  </pic:spPr>
                </pic:pic>
              </a:graphicData>
            </a:graphic>
          </wp:anchor>
        </w:drawing>
      </w:r>
    </w:p>
    <w:p w:rsidR="00F709F1" w:rsidRPr="00383954" w:rsidRDefault="00F709F1" w:rsidP="00D30230">
      <w:pPr>
        <w:rPr>
          <w:i/>
          <w:noProof/>
          <w:lang w:eastAsia="en-GB"/>
        </w:rPr>
      </w:pPr>
      <w:r w:rsidRPr="00383954">
        <w:rPr>
          <w:i/>
          <w:noProof/>
          <w:lang w:eastAsia="en-GB"/>
        </w:rPr>
        <w:t>(see “How t</w:t>
      </w:r>
      <w:r w:rsidR="00AE0AE3">
        <w:rPr>
          <w:i/>
          <w:noProof/>
          <w:lang w:eastAsia="en-GB"/>
        </w:rPr>
        <w:t>o read the box-plots?” on page 8</w:t>
      </w:r>
      <w:r w:rsidRPr="00383954">
        <w:rPr>
          <w:i/>
          <w:noProof/>
          <w:lang w:eastAsia="en-GB"/>
        </w:rPr>
        <w:t>)</w:t>
      </w:r>
    </w:p>
    <w:p w:rsidR="00F709F1" w:rsidRDefault="00F709F1" w:rsidP="00FD4E3A">
      <w:pPr>
        <w:spacing w:after="0" w:line="240" w:lineRule="auto"/>
        <w:jc w:val="left"/>
        <w:rPr>
          <w:noProof/>
          <w:lang w:eastAsia="en-GB"/>
        </w:rPr>
      </w:pPr>
    </w:p>
    <w:p w:rsidR="00F709F1" w:rsidRDefault="00F709F1" w:rsidP="00FD4E3A">
      <w:pPr>
        <w:spacing w:after="0" w:line="240" w:lineRule="auto"/>
        <w:jc w:val="left"/>
        <w:rPr>
          <w:noProof/>
          <w:lang w:eastAsia="en-GB"/>
        </w:rPr>
      </w:pPr>
    </w:p>
    <w:p w:rsidR="00F709F1" w:rsidRDefault="00F709F1" w:rsidP="00FD4E3A">
      <w:pPr>
        <w:spacing w:after="0" w:line="240" w:lineRule="auto"/>
        <w:jc w:val="left"/>
        <w:rPr>
          <w:noProof/>
          <w:lang w:eastAsia="en-GB"/>
        </w:rPr>
      </w:pPr>
    </w:p>
    <w:p w:rsidR="00F709F1" w:rsidRDefault="00F709F1">
      <w:pPr>
        <w:spacing w:after="0" w:line="240" w:lineRule="auto"/>
        <w:jc w:val="left"/>
        <w:rPr>
          <w:noProof/>
          <w:lang w:eastAsia="en-GB"/>
        </w:rPr>
      </w:pPr>
      <w:r>
        <w:rPr>
          <w:noProof/>
          <w:lang w:eastAsia="en-GB"/>
        </w:rPr>
        <w:br w:type="page"/>
      </w:r>
    </w:p>
    <w:p w:rsidR="00F709F1" w:rsidRPr="009E37A2" w:rsidRDefault="00F709F1" w:rsidP="005761A6">
      <w:pPr>
        <w:pStyle w:val="Heading1"/>
      </w:pPr>
      <w:r w:rsidRPr="009E37A2">
        <w:lastRenderedPageBreak/>
        <w:t xml:space="preserve">Territorial factors of interest for the programme area </w:t>
      </w:r>
    </w:p>
    <w:p w:rsidR="009E37A2" w:rsidRDefault="009E37A2" w:rsidP="009E37A2">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E37A2" w:rsidRDefault="009E37A2" w:rsidP="009E37A2">
      <w:r>
        <w:t xml:space="preserve">In a European perspective the programme area is mainly characterised by urban regions in Malta and by intermediate regions (in-between rural and urban) on Sicily. Some of these intermediate regions are considered as close to a city and some are considered as remote. Among the main centres in the programme area are Valletta, Gozo and Siracusa. </w:t>
      </w:r>
    </w:p>
    <w:p w:rsidR="009E37A2" w:rsidRDefault="009E37A2" w:rsidP="009E37A2">
      <w:r>
        <w:t xml:space="preserve">Given the island character and absence of large European metropolitan areas, the international multimodal accessibility of the programme area is below European average. For some areas there are particular accessibility challenges related e.g. to issues of double insularity. </w:t>
      </w:r>
      <w:r w:rsidRPr="0032010C">
        <w:t xml:space="preserve">ESPON GEOSPECS has developed a nexus model for </w:t>
      </w:r>
      <w:r>
        <w:t>islands</w:t>
      </w:r>
      <w:r w:rsidRPr="0032010C">
        <w:t xml:space="preserve"> linking defining features via intermediary process to development challenges and opportunities (see figure). This model can be of interest </w:t>
      </w:r>
      <w:r>
        <w:t xml:space="preserve">also </w:t>
      </w:r>
      <w:r w:rsidRPr="0032010C">
        <w:t xml:space="preserve">for further developing the discussion about the challenges and opportunities in the programme area. </w:t>
      </w:r>
      <w:r>
        <w:t xml:space="preserve">Furthermore, large parts of the programme area are characterised as sparsely populated. </w:t>
      </w:r>
    </w:p>
    <w:p w:rsidR="009E37A2" w:rsidRPr="00C05A74" w:rsidRDefault="009E37A2" w:rsidP="009E37A2">
      <w:r>
        <w:t xml:space="preserve">The geographical specificities come often with </w:t>
      </w:r>
      <w:r w:rsidR="005B0BF2">
        <w:t>both positive</w:t>
      </w:r>
      <w:r>
        <w:t xml:space="preserve"> externalities and development opportunities as well as development challenges, e.g. related to</w:t>
      </w:r>
      <w:r w:rsidRPr="00C05A74">
        <w:t>:</w:t>
      </w:r>
    </w:p>
    <w:p w:rsidR="009E37A2" w:rsidRPr="00C05A74" w:rsidRDefault="009E37A2" w:rsidP="009E37A2">
      <w:pPr>
        <w:pStyle w:val="ListParagraph"/>
        <w:numPr>
          <w:ilvl w:val="0"/>
          <w:numId w:val="25"/>
        </w:numPr>
      </w:pPr>
      <w:r w:rsidRPr="00C05A74">
        <w:t>addressing seasonality in employment, by fostering multiactivity through better integration with employment opportunities across multiple sectors;</w:t>
      </w:r>
    </w:p>
    <w:p w:rsidR="009E37A2" w:rsidRPr="00C05A74" w:rsidRDefault="009E37A2" w:rsidP="009E37A2">
      <w:pPr>
        <w:pStyle w:val="ListParagraph"/>
        <w:numPr>
          <w:ilvl w:val="0"/>
          <w:numId w:val="25"/>
        </w:numPr>
      </w:pPr>
      <w:r w:rsidRPr="00C05A74">
        <w:t>more systematic public policies to promote access to ICT;</w:t>
      </w:r>
    </w:p>
    <w:p w:rsidR="009E37A2" w:rsidRPr="00C05A74" w:rsidRDefault="009E37A2" w:rsidP="009E37A2">
      <w:pPr>
        <w:pStyle w:val="ListParagraph"/>
        <w:numPr>
          <w:ilvl w:val="0"/>
          <w:numId w:val="25"/>
        </w:numPr>
      </w:pPr>
      <w:r w:rsidRPr="00C05A74">
        <w:t>investment in local small- or medium-scale renewable energy production, underpinned by dedicated monitoring of energy-related issues;</w:t>
      </w:r>
    </w:p>
    <w:p w:rsidR="009E37A2" w:rsidRPr="00C05A74" w:rsidRDefault="009E37A2" w:rsidP="009E37A2">
      <w:pPr>
        <w:pStyle w:val="ListParagraph"/>
        <w:numPr>
          <w:ilvl w:val="0"/>
          <w:numId w:val="25"/>
        </w:numPr>
      </w:pPr>
      <w:r w:rsidRPr="00C05A74">
        <w:t>innovative methods of service provision, to maintain the attractiveness of mountain areas for not only residents, but also visitors;</w:t>
      </w:r>
    </w:p>
    <w:p w:rsidR="009E37A2" w:rsidRDefault="009E37A2" w:rsidP="009E37A2">
      <w:pPr>
        <w:pStyle w:val="ListParagraph"/>
        <w:numPr>
          <w:ilvl w:val="0"/>
          <w:numId w:val="25"/>
        </w:numPr>
      </w:pPr>
      <w:r w:rsidRPr="00C05A74">
        <w:t>specific measures to develop higher education.</w:t>
      </w:r>
    </w:p>
    <w:p w:rsidR="009E37A2" w:rsidRDefault="009E37A2" w:rsidP="009E37A2">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 xml:space="preserve">Nexus model for islands </w:t>
      </w:r>
    </w:p>
    <w:p w:rsidR="00F709F1" w:rsidRDefault="009E37A2" w:rsidP="009E37A2">
      <w:pPr>
        <w:spacing w:after="0" w:line="240" w:lineRule="auto"/>
        <w:jc w:val="left"/>
      </w:pPr>
      <w:r w:rsidRPr="00467EC3">
        <w:rPr>
          <w:noProof/>
          <w:lang w:val="en-US"/>
        </w:rPr>
        <w:drawing>
          <wp:inline distT="0" distB="0" distL="0" distR="0">
            <wp:extent cx="5179695" cy="3141904"/>
            <wp:effectExtent l="25400" t="0" r="1905"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182272" cy="3143467"/>
                    </a:xfrm>
                    <a:prstGeom prst="rect">
                      <a:avLst/>
                    </a:prstGeom>
                    <a:noFill/>
                    <a:ln w="9525">
                      <a:noFill/>
                      <a:miter lim="800000"/>
                      <a:headEnd/>
                      <a:tailEnd/>
                    </a:ln>
                  </pic:spPr>
                </pic:pic>
              </a:graphicData>
            </a:graphic>
          </wp:inline>
        </w:drawing>
      </w:r>
      <w:r w:rsidR="00F709F1">
        <w:br w:type="page"/>
      </w:r>
    </w:p>
    <w:p w:rsidR="00F709F1" w:rsidRPr="00C33A99" w:rsidRDefault="00F709F1"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Italy – Malta</w:t>
      </w:r>
    </w:p>
    <w:p w:rsidR="00F709F1" w:rsidRDefault="00F709F1" w:rsidP="0089569C">
      <w:pPr>
        <w:spacing w:after="0" w:line="240" w:lineRule="auto"/>
        <w:jc w:val="left"/>
        <w:rPr>
          <w:noProof/>
          <w:lang w:eastAsia="en-GB"/>
        </w:rPr>
      </w:pPr>
    </w:p>
    <w:p w:rsidR="00F709F1" w:rsidRDefault="001831A8" w:rsidP="0089569C">
      <w:pPr>
        <w:spacing w:after="0" w:line="240" w:lineRule="auto"/>
        <w:jc w:val="left"/>
        <w:rPr>
          <w:noProof/>
          <w:lang w:eastAsia="en-GB"/>
        </w:rPr>
      </w:pPr>
      <w:r w:rsidRPr="001831A8">
        <w:rPr>
          <w:noProof/>
          <w:lang w:val="de-DE" w:eastAsia="de-DE"/>
        </w:rPr>
        <w:pict>
          <v:oval id="_x0000_s1050" style="position:absolute;margin-left:194.1pt;margin-top:369.25pt;width:38.25pt;height:23.2pt;rotation:1872796fd;z-index:251672064" filled="f" strokecolor="#0070c0" strokeweight="2pt"/>
        </w:pict>
      </w:r>
      <w:r w:rsidR="00056F7F">
        <w:rPr>
          <w:noProof/>
          <w:lang w:val="en-US"/>
        </w:rPr>
        <w:drawing>
          <wp:inline distT="0" distB="0" distL="0" distR="0">
            <wp:extent cx="5278755" cy="7210476"/>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E833F3" w:rsidRPr="0085195F" w:rsidRDefault="00E833F3" w:rsidP="00E833F3">
      <w:pPr>
        <w:jc w:val="right"/>
        <w:rPr>
          <w:i/>
        </w:rPr>
      </w:pPr>
      <w:r w:rsidRPr="0085195F">
        <w:rPr>
          <w:i/>
        </w:rPr>
        <w:t>(Accessible=close to a city)</w:t>
      </w:r>
    </w:p>
    <w:p w:rsidR="00F709F1" w:rsidRDefault="00F709F1" w:rsidP="0089569C">
      <w:pPr>
        <w:spacing w:after="0" w:line="240" w:lineRule="auto"/>
        <w:jc w:val="left"/>
        <w:rPr>
          <w:noProof/>
          <w:lang w:eastAsia="en-GB"/>
        </w:rPr>
      </w:pPr>
    </w:p>
    <w:p w:rsidR="00F709F1" w:rsidRDefault="00F709F1" w:rsidP="0019394E">
      <w:pPr>
        <w:spacing w:after="0" w:line="240" w:lineRule="auto"/>
        <w:jc w:val="left"/>
        <w:rPr>
          <w:noProof/>
          <w:lang w:eastAsia="en-GB"/>
        </w:rPr>
      </w:pPr>
      <w:r>
        <w:rPr>
          <w:noProof/>
          <w:lang w:eastAsia="en-GB"/>
        </w:rPr>
        <w:br w:type="page"/>
      </w:r>
    </w:p>
    <w:p w:rsidR="00F709F1" w:rsidRDefault="00F709F1"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Italy – Malta</w:t>
      </w:r>
    </w:p>
    <w:p w:rsidR="0011670B" w:rsidRPr="00021CAB" w:rsidRDefault="0011670B" w:rsidP="0011670B">
      <w:pPr>
        <w:spacing w:after="240"/>
        <w:rPr>
          <w:i/>
        </w:rPr>
      </w:pPr>
      <w:r w:rsidRPr="00021CAB">
        <w:rPr>
          <w:i/>
        </w:rPr>
        <w:t>“Potential Accessibility Multimodal” scores accessibility of NUTS 3 regions by road, rail and air relative to the European average in an Accessibility Index.</w:t>
      </w:r>
    </w:p>
    <w:p w:rsidR="00F709F1" w:rsidRDefault="001831A8" w:rsidP="0089569C">
      <w:pPr>
        <w:spacing w:after="0" w:line="240" w:lineRule="auto"/>
        <w:jc w:val="left"/>
        <w:rPr>
          <w:noProof/>
          <w:lang w:eastAsia="en-GB"/>
        </w:rPr>
      </w:pPr>
      <w:r w:rsidRPr="001831A8">
        <w:rPr>
          <w:i/>
          <w:noProof/>
          <w:lang w:val="de-DE" w:eastAsia="de-DE"/>
        </w:rPr>
        <w:pict>
          <v:oval id="_x0000_s1051" style="position:absolute;margin-left:191pt;margin-top:366.2pt;width:45pt;height:27.3pt;rotation:1872796fd;z-index:251673088" filled="f" strokecolor="#0070c0" strokeweight="2pt"/>
        </w:pict>
      </w:r>
      <w:r w:rsidR="0083743B">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F709F1" w:rsidRDefault="00F709F1" w:rsidP="0089569C">
      <w:pPr>
        <w:spacing w:after="0" w:line="240" w:lineRule="auto"/>
        <w:jc w:val="left"/>
        <w:rPr>
          <w:noProof/>
          <w:lang w:eastAsia="en-GB"/>
        </w:rPr>
      </w:pPr>
    </w:p>
    <w:p w:rsidR="00F709F1" w:rsidRDefault="00F709F1" w:rsidP="0019394E">
      <w:pPr>
        <w:spacing w:after="0" w:line="240" w:lineRule="auto"/>
        <w:jc w:val="left"/>
        <w:rPr>
          <w:noProof/>
          <w:lang w:eastAsia="en-GB"/>
        </w:rPr>
      </w:pPr>
      <w:r>
        <w:rPr>
          <w:noProof/>
          <w:lang w:eastAsia="en-GB"/>
        </w:rPr>
        <w:br w:type="page"/>
      </w:r>
    </w:p>
    <w:p w:rsidR="00F709F1" w:rsidRPr="001001E1" w:rsidRDefault="00F709F1" w:rsidP="0019394E">
      <w:pPr>
        <w:pStyle w:val="Heading1"/>
      </w:pPr>
      <w:r w:rsidRPr="001001E1">
        <w:lastRenderedPageBreak/>
        <w:t>Recommended ESPON reading</w:t>
      </w:r>
    </w:p>
    <w:p w:rsidR="001001E1" w:rsidRDefault="001001E1" w:rsidP="001001E1">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1001E1" w:rsidRDefault="001001E1" w:rsidP="001001E1">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1001E1" w:rsidRPr="00A0472D" w:rsidTr="009B5D56">
        <w:trPr>
          <w:trHeight w:val="203"/>
        </w:trPr>
        <w:tc>
          <w:tcPr>
            <w:tcW w:w="1276" w:type="dxa"/>
            <w:shd w:val="clear" w:color="auto" w:fill="auto"/>
          </w:tcPr>
          <w:p w:rsidR="001001E1" w:rsidRPr="00A0472D" w:rsidRDefault="001001E1" w:rsidP="009B5D56">
            <w:pPr>
              <w:spacing w:after="0" w:line="20" w:lineRule="atLeast"/>
              <w:rPr>
                <w:b/>
                <w:sz w:val="18"/>
                <w:szCs w:val="18"/>
              </w:rPr>
            </w:pPr>
            <w:r w:rsidRPr="00A0472D">
              <w:rPr>
                <w:b/>
                <w:sz w:val="18"/>
                <w:szCs w:val="18"/>
              </w:rPr>
              <w:t>ESPON study</w:t>
            </w:r>
          </w:p>
        </w:tc>
        <w:tc>
          <w:tcPr>
            <w:tcW w:w="1418" w:type="dxa"/>
            <w:shd w:val="clear" w:color="auto" w:fill="auto"/>
          </w:tcPr>
          <w:p w:rsidR="001001E1" w:rsidRPr="00A0472D" w:rsidRDefault="001001E1" w:rsidP="009B5D56">
            <w:pPr>
              <w:spacing w:after="0" w:line="20" w:lineRule="atLeast"/>
              <w:rPr>
                <w:b/>
                <w:sz w:val="18"/>
                <w:szCs w:val="18"/>
              </w:rPr>
            </w:pPr>
            <w:r w:rsidRPr="00A0472D">
              <w:rPr>
                <w:b/>
                <w:sz w:val="18"/>
                <w:szCs w:val="18"/>
              </w:rPr>
              <w:t>Topic</w:t>
            </w:r>
          </w:p>
        </w:tc>
        <w:tc>
          <w:tcPr>
            <w:tcW w:w="5670" w:type="dxa"/>
            <w:shd w:val="clear" w:color="auto" w:fill="auto"/>
          </w:tcPr>
          <w:p w:rsidR="001001E1" w:rsidRPr="00A0472D" w:rsidRDefault="001001E1" w:rsidP="009B5D56">
            <w:pPr>
              <w:spacing w:after="0" w:line="20" w:lineRule="atLeast"/>
              <w:rPr>
                <w:b/>
                <w:sz w:val="18"/>
                <w:szCs w:val="18"/>
              </w:rPr>
            </w:pPr>
            <w:r w:rsidRPr="00A0472D">
              <w:rPr>
                <w:b/>
                <w:sz w:val="18"/>
                <w:szCs w:val="18"/>
              </w:rPr>
              <w:t>Content</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jc w:val="left"/>
              <w:rPr>
                <w:rFonts w:cs="Calibri"/>
                <w:sz w:val="18"/>
                <w:szCs w:val="18"/>
                <w:lang w:eastAsia="fr-FR"/>
              </w:rPr>
            </w:pPr>
            <w:r w:rsidRPr="001A28E2">
              <w:rPr>
                <w:rFonts w:cs="Calibri"/>
                <w:sz w:val="18"/>
                <w:szCs w:val="18"/>
                <w:lang w:eastAsia="fr-FR"/>
              </w:rPr>
              <w:t xml:space="preserve">EDORA </w:t>
            </w:r>
          </w:p>
        </w:tc>
        <w:tc>
          <w:tcPr>
            <w:tcW w:w="1418"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Rural areas</w:t>
            </w:r>
          </w:p>
        </w:tc>
        <w:tc>
          <w:tcPr>
            <w:tcW w:w="5670"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It provides evidence on the development opportunities of diverse types of European rural areas and reveals competitiveness options (see maps in Appendix 1).</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jc w:val="left"/>
              <w:rPr>
                <w:rFonts w:cs="Calibri"/>
                <w:sz w:val="18"/>
                <w:szCs w:val="18"/>
                <w:highlight w:val="yellow"/>
                <w:lang w:eastAsia="fr-FR"/>
              </w:rPr>
            </w:pPr>
            <w:r w:rsidRPr="001A28E2">
              <w:rPr>
                <w:rFonts w:cs="Calibri"/>
                <w:sz w:val="18"/>
                <w:szCs w:val="18"/>
                <w:lang w:eastAsia="fr-FR"/>
              </w:rPr>
              <w:t>CLIMATE</w:t>
            </w:r>
          </w:p>
        </w:tc>
        <w:tc>
          <w:tcPr>
            <w:tcW w:w="1418" w:type="dxa"/>
            <w:shd w:val="clear" w:color="auto" w:fill="FFFFFF" w:themeFill="background1"/>
          </w:tcPr>
          <w:p w:rsidR="001001E1" w:rsidRPr="001A28E2" w:rsidRDefault="001001E1" w:rsidP="009B5D56">
            <w:pPr>
              <w:spacing w:after="0" w:line="20" w:lineRule="atLeast"/>
              <w:rPr>
                <w:rFonts w:cs="Calibri"/>
                <w:sz w:val="18"/>
                <w:szCs w:val="18"/>
                <w:highlight w:val="yellow"/>
                <w:lang w:eastAsia="fr-FR"/>
              </w:rPr>
            </w:pPr>
            <w:r w:rsidRPr="001A28E2">
              <w:rPr>
                <w:rFonts w:cs="Calibri"/>
                <w:sz w:val="18"/>
                <w:szCs w:val="18"/>
                <w:lang w:eastAsia="fr-FR"/>
              </w:rPr>
              <w:t>Climate change</w:t>
            </w:r>
          </w:p>
        </w:tc>
        <w:tc>
          <w:tcPr>
            <w:tcW w:w="5670" w:type="dxa"/>
            <w:shd w:val="clear" w:color="auto" w:fill="FFFFFF" w:themeFill="background1"/>
          </w:tcPr>
          <w:p w:rsidR="001001E1" w:rsidRPr="001A28E2" w:rsidRDefault="001001E1" w:rsidP="009B5D56">
            <w:pPr>
              <w:spacing w:after="0" w:line="20" w:lineRule="atLeast"/>
              <w:rPr>
                <w:rFonts w:cs="Calibri"/>
                <w:sz w:val="18"/>
                <w:szCs w:val="18"/>
                <w:highlight w:val="yellow"/>
                <w:lang w:eastAsia="fr-FR"/>
              </w:rPr>
            </w:pPr>
            <w:r w:rsidRPr="001A28E2">
              <w:rPr>
                <w:rFonts w:cs="Calibri"/>
                <w:sz w:val="18"/>
                <w:szCs w:val="18"/>
                <w:lang w:eastAsia="fr-FR"/>
              </w:rPr>
              <w:t>It analyses how and to which degree climate change will impact on the competitiveness and cohesion of European regions and Europe as a whole (see from map 1 to 23).</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jc w:val="left"/>
              <w:rPr>
                <w:sz w:val="18"/>
                <w:szCs w:val="18"/>
              </w:rPr>
            </w:pPr>
            <w:r w:rsidRPr="001A28E2">
              <w:rPr>
                <w:sz w:val="18"/>
                <w:szCs w:val="18"/>
              </w:rPr>
              <w:t>TIPTAP</w:t>
            </w:r>
          </w:p>
        </w:tc>
        <w:tc>
          <w:tcPr>
            <w:tcW w:w="1418"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Territorial impact assessment</w:t>
            </w:r>
          </w:p>
        </w:tc>
        <w:tc>
          <w:tcPr>
            <w:tcW w:w="5670"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 xml:space="preserve">It provides a tool for the ex-ante assessment of territorial impacts of policies to deliver evidence on the territorial impact of policies (see from map 2.3.1 to 2.3.9). </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jc w:val="left"/>
              <w:rPr>
                <w:rFonts w:cs="Calibri"/>
                <w:sz w:val="18"/>
                <w:szCs w:val="18"/>
                <w:lang w:eastAsia="fr-FR"/>
              </w:rPr>
            </w:pPr>
            <w:r w:rsidRPr="001A28E2">
              <w:rPr>
                <w:rFonts w:cs="Calibri"/>
                <w:sz w:val="18"/>
                <w:szCs w:val="18"/>
                <w:lang w:eastAsia="fr-FR"/>
              </w:rPr>
              <w:t xml:space="preserve">CAEE </w:t>
            </w:r>
          </w:p>
        </w:tc>
        <w:tc>
          <w:tcPr>
            <w:tcW w:w="1418"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Agglomerati-on economies</w:t>
            </w:r>
          </w:p>
        </w:tc>
        <w:tc>
          <w:tcPr>
            <w:tcW w:w="5670"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 xml:space="preserve">It aims at a better understanding of the economic costs and benefits of large urban agglomerations (see figure 1). </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 xml:space="preserve">TRANSMEC </w:t>
            </w:r>
          </w:p>
        </w:tc>
        <w:tc>
          <w:tcPr>
            <w:tcW w:w="1418"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European cooperation</w:t>
            </w:r>
          </w:p>
        </w:tc>
        <w:tc>
          <w:tcPr>
            <w:tcW w:w="5670" w:type="dxa"/>
            <w:shd w:val="clear" w:color="auto" w:fill="FFFFFF" w:themeFill="background1"/>
          </w:tcPr>
          <w:p w:rsidR="001001E1" w:rsidRPr="001A28E2" w:rsidRDefault="001001E1" w:rsidP="009B5D56">
            <w:pPr>
              <w:spacing w:after="0" w:line="20" w:lineRule="atLeast"/>
              <w:rPr>
                <w:rFonts w:cs="Calibri"/>
                <w:sz w:val="18"/>
                <w:szCs w:val="18"/>
                <w:lang w:eastAsia="fr-FR"/>
              </w:rPr>
            </w:pPr>
            <w:r w:rsidRPr="001A28E2">
              <w:rPr>
                <w:rFonts w:cs="Calibri"/>
                <w:sz w:val="18"/>
                <w:szCs w:val="18"/>
                <w:lang w:eastAsia="fr-FR"/>
              </w:rPr>
              <w:t xml:space="preserve">It develops a method providing guidance on how ESPON results can add value to support territorial cooperation programmes (see map 27 and from map 36 to 39 on potential accessibility indicators). </w:t>
            </w:r>
          </w:p>
        </w:tc>
      </w:tr>
      <w:tr w:rsidR="001001E1" w:rsidRPr="001A28E2" w:rsidTr="009B5D56">
        <w:trPr>
          <w:trHeight w:val="274"/>
        </w:trPr>
        <w:tc>
          <w:tcPr>
            <w:tcW w:w="1276" w:type="dxa"/>
            <w:tcBorders>
              <w:bottom w:val="single" w:sz="4" w:space="0" w:color="auto"/>
            </w:tcBorders>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 xml:space="preserve">SEMIGRA </w:t>
            </w:r>
          </w:p>
        </w:tc>
        <w:tc>
          <w:tcPr>
            <w:tcW w:w="1418" w:type="dxa"/>
            <w:tcBorders>
              <w:bottom w:val="single" w:sz="4" w:space="0" w:color="auto"/>
            </w:tcBorders>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Rural migration</w:t>
            </w:r>
          </w:p>
        </w:tc>
        <w:tc>
          <w:tcPr>
            <w:tcW w:w="5670" w:type="dxa"/>
            <w:tcBorders>
              <w:bottom w:val="single" w:sz="4" w:space="0" w:color="auto"/>
            </w:tcBorders>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It identifies the main reasons and consequences of selective migration in rural regions in order to develop strategies for territorial development (see map 1, 4 and 5).</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KIT</w:t>
            </w:r>
          </w:p>
        </w:tc>
        <w:tc>
          <w:tcPr>
            <w:tcW w:w="1418"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Innovation</w:t>
            </w:r>
          </w:p>
        </w:tc>
        <w:tc>
          <w:tcPr>
            <w:tcW w:w="5670" w:type="dxa"/>
            <w:shd w:val="clear" w:color="auto" w:fill="FFFFFF" w:themeFill="background1"/>
          </w:tcPr>
          <w:p w:rsidR="001001E1" w:rsidRPr="001A28E2" w:rsidRDefault="001001E1" w:rsidP="009B5D56">
            <w:pPr>
              <w:spacing w:after="0" w:line="20" w:lineRule="atLeast"/>
              <w:rPr>
                <w:rFonts w:cs="Calibri"/>
                <w:color w:val="000000"/>
                <w:sz w:val="18"/>
                <w:szCs w:val="18"/>
                <w:lang w:eastAsia="fr-FR"/>
              </w:rPr>
            </w:pPr>
            <w:r w:rsidRPr="001A28E2">
              <w:rPr>
                <w:rFonts w:cs="Calibri"/>
                <w:color w:val="000000"/>
                <w:sz w:val="18"/>
                <w:szCs w:val="18"/>
                <w:lang w:eastAsia="fr-FR"/>
              </w:rPr>
              <w:t xml:space="preserve">It describes patterns and potentials of regions in terms of knowledge and innovation economy and explores development opportunities (see from map 3.1.1 to 4.4.1). </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SGPTD</w:t>
            </w:r>
          </w:p>
        </w:tc>
        <w:tc>
          <w:tcPr>
            <w:tcW w:w="1418"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Growth poles</w:t>
            </w:r>
          </w:p>
        </w:tc>
        <w:tc>
          <w:tcPr>
            <w:tcW w:w="5670"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It provides evidence about performance and roles of European secondary cities (see from figure 2 to 2.12).</w:t>
            </w:r>
          </w:p>
        </w:tc>
      </w:tr>
      <w:tr w:rsidR="001001E1" w:rsidRPr="001A28E2" w:rsidTr="009B5D56">
        <w:trPr>
          <w:trHeight w:val="274"/>
        </w:trPr>
        <w:tc>
          <w:tcPr>
            <w:tcW w:w="1276"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EURO-ISLANDS</w:t>
            </w:r>
          </w:p>
        </w:tc>
        <w:tc>
          <w:tcPr>
            <w:tcW w:w="1418"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Islands</w:t>
            </w:r>
          </w:p>
        </w:tc>
        <w:tc>
          <w:tcPr>
            <w:tcW w:w="5670"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It gives evidence on the divergence of island's situation from the European average and on existing policy measures for the islands. It focuses on Malta (see from map 1 to 7).</w:t>
            </w:r>
          </w:p>
        </w:tc>
      </w:tr>
      <w:tr w:rsidR="001001E1" w:rsidRPr="001A28E2" w:rsidTr="009B5D56">
        <w:trPr>
          <w:trHeight w:val="274"/>
        </w:trPr>
        <w:tc>
          <w:tcPr>
            <w:tcW w:w="1276" w:type="dxa"/>
            <w:shd w:val="clear" w:color="auto" w:fill="FFFFFF" w:themeFill="background1"/>
          </w:tcPr>
          <w:p w:rsidR="001001E1" w:rsidRPr="001A28E2" w:rsidRDefault="001001E1" w:rsidP="009B5D56">
            <w:pPr>
              <w:autoSpaceDE w:val="0"/>
              <w:autoSpaceDN w:val="0"/>
              <w:adjustRightInd w:val="0"/>
              <w:spacing w:after="0" w:line="240" w:lineRule="auto"/>
              <w:rPr>
                <w:sz w:val="18"/>
                <w:szCs w:val="18"/>
              </w:rPr>
            </w:pPr>
            <w:r w:rsidRPr="001A28E2">
              <w:rPr>
                <w:rFonts w:cs="Calibri"/>
                <w:sz w:val="18"/>
                <w:szCs w:val="18"/>
                <w:lang w:eastAsia="fr-FR"/>
              </w:rPr>
              <w:t>TeDI</w:t>
            </w:r>
          </w:p>
        </w:tc>
        <w:tc>
          <w:tcPr>
            <w:tcW w:w="1418"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Territorial diversity</w:t>
            </w:r>
          </w:p>
        </w:tc>
        <w:tc>
          <w:tcPr>
            <w:tcW w:w="5670" w:type="dxa"/>
            <w:shd w:val="clear" w:color="auto" w:fill="FFFFFF" w:themeFill="background1"/>
          </w:tcPr>
          <w:p w:rsidR="001001E1" w:rsidRPr="001A28E2" w:rsidRDefault="001001E1" w:rsidP="009B5D56">
            <w:pPr>
              <w:spacing w:after="0" w:line="20" w:lineRule="atLeast"/>
              <w:rPr>
                <w:sz w:val="18"/>
                <w:szCs w:val="18"/>
              </w:rPr>
            </w:pPr>
            <w:r w:rsidRPr="001A28E2">
              <w:rPr>
                <w:sz w:val="18"/>
                <w:szCs w:val="18"/>
              </w:rPr>
              <w:t>It analyses insular, mountainous, sparsely populated or peripheral territories. It focuses on Malta as a case study.</w:t>
            </w:r>
          </w:p>
        </w:tc>
      </w:tr>
    </w:tbl>
    <w:p w:rsidR="001001E1" w:rsidRDefault="001001E1" w:rsidP="001001E1">
      <w:pPr>
        <w:spacing w:before="240"/>
      </w:pPr>
      <w:r>
        <w:t>Furthermore, some of overall ESPON products of particular interest for territorial cooperation are:</w:t>
      </w:r>
    </w:p>
    <w:p w:rsidR="001001E1" w:rsidRDefault="001001E1" w:rsidP="001001E1">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1001E1" w:rsidRDefault="001001E1" w:rsidP="001001E1">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1001E1" w:rsidRPr="00A33083" w:rsidRDefault="001001E1" w:rsidP="001001E1">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1001E1" w:rsidRDefault="001001E1" w:rsidP="001001E1">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1001E1" w:rsidRPr="00CD642B" w:rsidRDefault="001001E1" w:rsidP="001001E1">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1001E1" w:rsidRDefault="001001E1" w:rsidP="001001E1">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1001E1" w:rsidRDefault="001001E1" w:rsidP="001001E1">
      <w:pPr>
        <w:jc w:val="center"/>
      </w:pPr>
      <w:r w:rsidRPr="00CD642B">
        <w:t>All ESPON reports and tools are freely available at</w:t>
      </w:r>
      <w:r>
        <w:br/>
      </w:r>
      <w:r w:rsidRPr="00CD642B">
        <w:rPr>
          <w:b/>
        </w:rPr>
        <w:t>www.espon.eu</w:t>
      </w:r>
    </w:p>
    <w:p w:rsidR="00F709F1" w:rsidRPr="005A5FC4" w:rsidRDefault="00F709F1" w:rsidP="005A5FC4"/>
    <w:p w:rsidR="00F709F1" w:rsidRPr="00127102" w:rsidRDefault="00474B1E"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1831A8" w:rsidRPr="001831A8">
        <w:rPr>
          <w:noProof/>
          <w:lang w:val="hu-HU" w:eastAsia="hu-HU"/>
        </w:rPr>
        <w:pict>
          <v:shapetype id="_x0000_t202" coordsize="21600,21600" o:spt="202" path="m,l,21600r21600,l21600,xe">
            <v:stroke joinstyle="miter"/>
            <v:path gradientshapeok="t" o:connecttype="rect"/>
          </v:shapetype>
          <v:shape id="Text Box 3" o:spid="_x0000_s1041" type="#_x0000_t202" style="position:absolute;left:0;text-align:left;margin-left:-36.35pt;margin-top:-9.15pt;width:228pt;height:25.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8B4E16" w:rsidRDefault="008B4E16" w:rsidP="00BC65E1">
                  <w:pPr>
                    <w:rPr>
                      <w:rFonts w:ascii="Arial" w:hAnsi="Arial" w:cs="Arial"/>
                      <w:szCs w:val="20"/>
                    </w:rPr>
                  </w:pPr>
                </w:p>
              </w:txbxContent>
            </v:textbox>
          </v:shape>
        </w:pict>
      </w:r>
      <w:r w:rsidR="001831A8" w:rsidRPr="001831A8">
        <w:rPr>
          <w:noProof/>
          <w:lang w:val="hu-HU" w:eastAsia="hu-HU"/>
        </w:rPr>
        <w:pict>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B4E16" w:rsidRPr="00FB783A" w:rsidRDefault="008B4E16"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F709F1"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D04" w:rsidRDefault="00A52D04">
      <w:r>
        <w:separator/>
      </w:r>
    </w:p>
  </w:endnote>
  <w:endnote w:type="continuationSeparator" w:id="0">
    <w:p w:rsidR="00A52D04" w:rsidRDefault="00A52D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16" w:rsidRDefault="001831A8" w:rsidP="00BC65E1">
    <w:pPr>
      <w:framePr w:wrap="around" w:vAnchor="text" w:hAnchor="margin" w:xAlign="right" w:y="1"/>
      <w:rPr>
        <w:rStyle w:val="PageNumber"/>
      </w:rPr>
    </w:pPr>
    <w:r>
      <w:rPr>
        <w:rStyle w:val="PageNumber"/>
      </w:rPr>
      <w:fldChar w:fldCharType="begin"/>
    </w:r>
    <w:r w:rsidR="008B4E16">
      <w:rPr>
        <w:rStyle w:val="PageNumber"/>
      </w:rPr>
      <w:instrText xml:space="preserve">PAGE  </w:instrText>
    </w:r>
    <w:r>
      <w:rPr>
        <w:rStyle w:val="PageNumber"/>
      </w:rPr>
      <w:fldChar w:fldCharType="separate"/>
    </w:r>
    <w:r w:rsidR="008B4E16">
      <w:rPr>
        <w:rStyle w:val="PageNumber"/>
        <w:noProof/>
      </w:rPr>
      <w:t>3</w:t>
    </w:r>
    <w:r>
      <w:rPr>
        <w:rStyle w:val="PageNumber"/>
      </w:rPr>
      <w:fldChar w:fldCharType="end"/>
    </w:r>
  </w:p>
  <w:p w:rsidR="008B4E16" w:rsidRDefault="008B4E16">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16" w:rsidRPr="00A15B61" w:rsidRDefault="001831A8" w:rsidP="00BC65E1">
    <w:pPr>
      <w:pStyle w:val="Footer"/>
      <w:framePr w:wrap="around" w:vAnchor="text" w:hAnchor="margin" w:xAlign="right" w:y="1"/>
      <w:rPr>
        <w:rStyle w:val="PageNumber"/>
      </w:rPr>
    </w:pPr>
    <w:r>
      <w:rPr>
        <w:rStyle w:val="PageNumber"/>
        <w:szCs w:val="20"/>
      </w:rPr>
      <w:fldChar w:fldCharType="begin"/>
    </w:r>
    <w:r w:rsidR="008B4E16">
      <w:rPr>
        <w:rStyle w:val="PageNumber"/>
        <w:szCs w:val="20"/>
      </w:rPr>
      <w:instrText>PAGE</w:instrText>
    </w:r>
    <w:r w:rsidR="008B4E16" w:rsidRPr="00A15B61">
      <w:rPr>
        <w:rStyle w:val="PageNumber"/>
        <w:szCs w:val="20"/>
      </w:rPr>
      <w:instrText xml:space="preserve">  </w:instrText>
    </w:r>
    <w:r>
      <w:rPr>
        <w:rStyle w:val="PageNumber"/>
        <w:szCs w:val="20"/>
      </w:rPr>
      <w:fldChar w:fldCharType="separate"/>
    </w:r>
    <w:r w:rsidR="00E833F3">
      <w:rPr>
        <w:rStyle w:val="PageNumber"/>
        <w:noProof/>
        <w:szCs w:val="20"/>
      </w:rPr>
      <w:t>1</w:t>
    </w:r>
    <w:r>
      <w:rPr>
        <w:rStyle w:val="PageNumber"/>
        <w:szCs w:val="20"/>
      </w:rPr>
      <w:fldChar w:fldCharType="end"/>
    </w:r>
  </w:p>
  <w:p w:rsidR="008B4E16" w:rsidRPr="00A15B61" w:rsidRDefault="008B4E16"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16" w:rsidRPr="00A15B61" w:rsidRDefault="001831A8" w:rsidP="00BC65E1">
    <w:pPr>
      <w:pStyle w:val="Footer"/>
      <w:framePr w:wrap="around" w:vAnchor="text" w:hAnchor="margin" w:xAlign="right" w:y="1"/>
      <w:rPr>
        <w:rStyle w:val="PageNumber"/>
      </w:rPr>
    </w:pPr>
    <w:r>
      <w:rPr>
        <w:rStyle w:val="PageNumber"/>
        <w:szCs w:val="20"/>
      </w:rPr>
      <w:fldChar w:fldCharType="begin"/>
    </w:r>
    <w:r w:rsidR="008B4E16">
      <w:rPr>
        <w:rStyle w:val="PageNumber"/>
        <w:szCs w:val="20"/>
      </w:rPr>
      <w:instrText>PAGE</w:instrText>
    </w:r>
    <w:r w:rsidR="008B4E16" w:rsidRPr="00A15B61">
      <w:rPr>
        <w:rStyle w:val="PageNumber"/>
        <w:szCs w:val="20"/>
      </w:rPr>
      <w:instrText xml:space="preserve">  </w:instrText>
    </w:r>
    <w:r>
      <w:rPr>
        <w:rStyle w:val="PageNumber"/>
        <w:szCs w:val="20"/>
      </w:rPr>
      <w:fldChar w:fldCharType="separate"/>
    </w:r>
    <w:r w:rsidR="00FF03A8">
      <w:rPr>
        <w:rStyle w:val="PageNumber"/>
        <w:noProof/>
        <w:szCs w:val="20"/>
      </w:rPr>
      <w:t>16</w:t>
    </w:r>
    <w:r>
      <w:rPr>
        <w:rStyle w:val="PageNumber"/>
        <w:szCs w:val="20"/>
      </w:rPr>
      <w:fldChar w:fldCharType="end"/>
    </w:r>
  </w:p>
  <w:p w:rsidR="008B4E16" w:rsidRPr="00A15B61" w:rsidRDefault="008B4E16"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D04" w:rsidRDefault="00A52D04">
      <w:r>
        <w:separator/>
      </w:r>
    </w:p>
  </w:footnote>
  <w:footnote w:type="continuationSeparator" w:id="0">
    <w:p w:rsidR="00A52D04" w:rsidRDefault="00A52D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16" w:rsidRDefault="001831A8">
    <w:pPr>
      <w:pStyle w:val="Header"/>
    </w:pPr>
    <w:r w:rsidRPr="001831A8">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B4E16" w:rsidRDefault="008B4E16"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B4E16" w:rsidRPr="00721B03" w:rsidRDefault="008B4E16"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B4E16">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16" w:rsidRDefault="008B4E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6B00478"/>
    <w:multiLevelType w:val="hybridMultilevel"/>
    <w:tmpl w:val="6200100E"/>
    <w:lvl w:ilvl="0" w:tplc="58B8F77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3">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2"/>
  </w:num>
  <w:num w:numId="4">
    <w:abstractNumId w:val="19"/>
  </w:num>
  <w:num w:numId="5">
    <w:abstractNumId w:val="11"/>
  </w:num>
  <w:num w:numId="6">
    <w:abstractNumId w:val="18"/>
  </w:num>
  <w:num w:numId="7">
    <w:abstractNumId w:val="17"/>
  </w:num>
  <w:num w:numId="8">
    <w:abstractNumId w:val="15"/>
  </w:num>
  <w:num w:numId="9">
    <w:abstractNumId w:val="23"/>
  </w:num>
  <w:num w:numId="10">
    <w:abstractNumId w:val="22"/>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28E8"/>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50AB6"/>
    <w:rsid w:val="000527DC"/>
    <w:rsid w:val="00055A97"/>
    <w:rsid w:val="00056F7F"/>
    <w:rsid w:val="000576BC"/>
    <w:rsid w:val="00061CE3"/>
    <w:rsid w:val="00063161"/>
    <w:rsid w:val="00064853"/>
    <w:rsid w:val="000664C7"/>
    <w:rsid w:val="00072557"/>
    <w:rsid w:val="00073957"/>
    <w:rsid w:val="00073BFF"/>
    <w:rsid w:val="00077C32"/>
    <w:rsid w:val="000812A6"/>
    <w:rsid w:val="00083607"/>
    <w:rsid w:val="00084FE6"/>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0F2BF2"/>
    <w:rsid w:val="001001E1"/>
    <w:rsid w:val="00104631"/>
    <w:rsid w:val="00105B9D"/>
    <w:rsid w:val="00112060"/>
    <w:rsid w:val="001120BB"/>
    <w:rsid w:val="00112693"/>
    <w:rsid w:val="0011670B"/>
    <w:rsid w:val="0011785C"/>
    <w:rsid w:val="0012533B"/>
    <w:rsid w:val="001260F4"/>
    <w:rsid w:val="00126FC2"/>
    <w:rsid w:val="00127102"/>
    <w:rsid w:val="00127104"/>
    <w:rsid w:val="00132FDD"/>
    <w:rsid w:val="00133602"/>
    <w:rsid w:val="00134DC7"/>
    <w:rsid w:val="0013600B"/>
    <w:rsid w:val="00141222"/>
    <w:rsid w:val="00147567"/>
    <w:rsid w:val="001507D7"/>
    <w:rsid w:val="00150A5A"/>
    <w:rsid w:val="00150FCB"/>
    <w:rsid w:val="00151954"/>
    <w:rsid w:val="00152974"/>
    <w:rsid w:val="00153108"/>
    <w:rsid w:val="00153EE2"/>
    <w:rsid w:val="0015691A"/>
    <w:rsid w:val="00157B13"/>
    <w:rsid w:val="00162FF6"/>
    <w:rsid w:val="0016435C"/>
    <w:rsid w:val="00172B99"/>
    <w:rsid w:val="00177F91"/>
    <w:rsid w:val="00180D67"/>
    <w:rsid w:val="00182673"/>
    <w:rsid w:val="001831A8"/>
    <w:rsid w:val="001838FE"/>
    <w:rsid w:val="00184B93"/>
    <w:rsid w:val="001907DA"/>
    <w:rsid w:val="00191F3D"/>
    <w:rsid w:val="001929F2"/>
    <w:rsid w:val="0019394E"/>
    <w:rsid w:val="00193F6F"/>
    <w:rsid w:val="001A0A8D"/>
    <w:rsid w:val="001A30F4"/>
    <w:rsid w:val="001A42AD"/>
    <w:rsid w:val="001A7669"/>
    <w:rsid w:val="001B0526"/>
    <w:rsid w:val="001B1399"/>
    <w:rsid w:val="001B13B6"/>
    <w:rsid w:val="001B27DA"/>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16DB"/>
    <w:rsid w:val="001F236D"/>
    <w:rsid w:val="001F5D67"/>
    <w:rsid w:val="002004FA"/>
    <w:rsid w:val="00200704"/>
    <w:rsid w:val="00201624"/>
    <w:rsid w:val="00207B3F"/>
    <w:rsid w:val="0021010A"/>
    <w:rsid w:val="0021343D"/>
    <w:rsid w:val="00213A52"/>
    <w:rsid w:val="002146DB"/>
    <w:rsid w:val="0022077E"/>
    <w:rsid w:val="00220A8C"/>
    <w:rsid w:val="002214A4"/>
    <w:rsid w:val="00221A45"/>
    <w:rsid w:val="00223DE3"/>
    <w:rsid w:val="002250F3"/>
    <w:rsid w:val="00227652"/>
    <w:rsid w:val="00235DC8"/>
    <w:rsid w:val="002371D8"/>
    <w:rsid w:val="00253237"/>
    <w:rsid w:val="0025373C"/>
    <w:rsid w:val="00255E49"/>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346"/>
    <w:rsid w:val="002C780D"/>
    <w:rsid w:val="002C7F41"/>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109A9"/>
    <w:rsid w:val="00322B33"/>
    <w:rsid w:val="003253E2"/>
    <w:rsid w:val="003312D3"/>
    <w:rsid w:val="003351B4"/>
    <w:rsid w:val="003359FF"/>
    <w:rsid w:val="00337519"/>
    <w:rsid w:val="00337872"/>
    <w:rsid w:val="00344591"/>
    <w:rsid w:val="003445A4"/>
    <w:rsid w:val="00351255"/>
    <w:rsid w:val="00351563"/>
    <w:rsid w:val="003526D5"/>
    <w:rsid w:val="00352B1D"/>
    <w:rsid w:val="00352D76"/>
    <w:rsid w:val="00353B5C"/>
    <w:rsid w:val="0035504D"/>
    <w:rsid w:val="003614EF"/>
    <w:rsid w:val="00362CD8"/>
    <w:rsid w:val="00362D4C"/>
    <w:rsid w:val="003667C4"/>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1830"/>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4B1E"/>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3B93"/>
    <w:rsid w:val="004C4307"/>
    <w:rsid w:val="004C462E"/>
    <w:rsid w:val="004C61B9"/>
    <w:rsid w:val="004C71AB"/>
    <w:rsid w:val="004C764D"/>
    <w:rsid w:val="004D2437"/>
    <w:rsid w:val="004D6E70"/>
    <w:rsid w:val="004E11D0"/>
    <w:rsid w:val="004E391C"/>
    <w:rsid w:val="004E39BD"/>
    <w:rsid w:val="004E3B1D"/>
    <w:rsid w:val="004F0F17"/>
    <w:rsid w:val="004F26B8"/>
    <w:rsid w:val="004F4013"/>
    <w:rsid w:val="004F6946"/>
    <w:rsid w:val="005023B0"/>
    <w:rsid w:val="00502D0D"/>
    <w:rsid w:val="00502E0A"/>
    <w:rsid w:val="00505959"/>
    <w:rsid w:val="00505C3B"/>
    <w:rsid w:val="005070C8"/>
    <w:rsid w:val="00511059"/>
    <w:rsid w:val="00512902"/>
    <w:rsid w:val="005131EA"/>
    <w:rsid w:val="005203B7"/>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0D09"/>
    <w:rsid w:val="00593AD0"/>
    <w:rsid w:val="00593B7A"/>
    <w:rsid w:val="00595161"/>
    <w:rsid w:val="005967A2"/>
    <w:rsid w:val="00597872"/>
    <w:rsid w:val="005A3E20"/>
    <w:rsid w:val="005A5FC4"/>
    <w:rsid w:val="005A73D9"/>
    <w:rsid w:val="005A7DFC"/>
    <w:rsid w:val="005B0BF2"/>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1C14"/>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2AB6"/>
    <w:rsid w:val="006955F2"/>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0FBC"/>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4B81"/>
    <w:rsid w:val="007456E2"/>
    <w:rsid w:val="00747707"/>
    <w:rsid w:val="00752B9A"/>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375F"/>
    <w:rsid w:val="0079408B"/>
    <w:rsid w:val="007949EF"/>
    <w:rsid w:val="0079633F"/>
    <w:rsid w:val="0079657F"/>
    <w:rsid w:val="00796C3C"/>
    <w:rsid w:val="00797BEC"/>
    <w:rsid w:val="007A48EF"/>
    <w:rsid w:val="007A4E31"/>
    <w:rsid w:val="007A508C"/>
    <w:rsid w:val="007A5C06"/>
    <w:rsid w:val="007A5D52"/>
    <w:rsid w:val="007A5E35"/>
    <w:rsid w:val="007B09FE"/>
    <w:rsid w:val="007B19A0"/>
    <w:rsid w:val="007B59B6"/>
    <w:rsid w:val="007B7ADB"/>
    <w:rsid w:val="007C52E9"/>
    <w:rsid w:val="007D2E47"/>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3743B"/>
    <w:rsid w:val="008419E4"/>
    <w:rsid w:val="00844319"/>
    <w:rsid w:val="008454F5"/>
    <w:rsid w:val="00846CF1"/>
    <w:rsid w:val="00847741"/>
    <w:rsid w:val="00855241"/>
    <w:rsid w:val="008555CF"/>
    <w:rsid w:val="00855BE0"/>
    <w:rsid w:val="00856EFD"/>
    <w:rsid w:val="00857F3C"/>
    <w:rsid w:val="00860A68"/>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4E16"/>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394"/>
    <w:rsid w:val="008E385E"/>
    <w:rsid w:val="008E4D86"/>
    <w:rsid w:val="008E6B67"/>
    <w:rsid w:val="008F3EE5"/>
    <w:rsid w:val="008F6322"/>
    <w:rsid w:val="008F7203"/>
    <w:rsid w:val="00905001"/>
    <w:rsid w:val="00906A2B"/>
    <w:rsid w:val="009116A2"/>
    <w:rsid w:val="00911A6A"/>
    <w:rsid w:val="0091343C"/>
    <w:rsid w:val="00913874"/>
    <w:rsid w:val="009154B9"/>
    <w:rsid w:val="009174D0"/>
    <w:rsid w:val="009217A3"/>
    <w:rsid w:val="00921D38"/>
    <w:rsid w:val="0092562C"/>
    <w:rsid w:val="00927D4F"/>
    <w:rsid w:val="00931A61"/>
    <w:rsid w:val="0093778A"/>
    <w:rsid w:val="0094059F"/>
    <w:rsid w:val="00943F1C"/>
    <w:rsid w:val="00946375"/>
    <w:rsid w:val="00951B33"/>
    <w:rsid w:val="00952C12"/>
    <w:rsid w:val="009540EB"/>
    <w:rsid w:val="009607D7"/>
    <w:rsid w:val="0097196B"/>
    <w:rsid w:val="00971C9B"/>
    <w:rsid w:val="009727D3"/>
    <w:rsid w:val="009729A4"/>
    <w:rsid w:val="00973416"/>
    <w:rsid w:val="00974016"/>
    <w:rsid w:val="00974649"/>
    <w:rsid w:val="00977AED"/>
    <w:rsid w:val="00983AB6"/>
    <w:rsid w:val="0099613A"/>
    <w:rsid w:val="00997518"/>
    <w:rsid w:val="009A379F"/>
    <w:rsid w:val="009A4B05"/>
    <w:rsid w:val="009A57D4"/>
    <w:rsid w:val="009A768F"/>
    <w:rsid w:val="009A7921"/>
    <w:rsid w:val="009B2BE6"/>
    <w:rsid w:val="009B4050"/>
    <w:rsid w:val="009B592C"/>
    <w:rsid w:val="009C0409"/>
    <w:rsid w:val="009C12E9"/>
    <w:rsid w:val="009C7E22"/>
    <w:rsid w:val="009D1667"/>
    <w:rsid w:val="009D1D06"/>
    <w:rsid w:val="009D22EC"/>
    <w:rsid w:val="009D2E8A"/>
    <w:rsid w:val="009D3B18"/>
    <w:rsid w:val="009D3F39"/>
    <w:rsid w:val="009D457D"/>
    <w:rsid w:val="009D681C"/>
    <w:rsid w:val="009E0BD5"/>
    <w:rsid w:val="009E1C7F"/>
    <w:rsid w:val="009E361D"/>
    <w:rsid w:val="009E37A2"/>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672A"/>
    <w:rsid w:val="00A37956"/>
    <w:rsid w:val="00A413E0"/>
    <w:rsid w:val="00A433AA"/>
    <w:rsid w:val="00A447B6"/>
    <w:rsid w:val="00A457AA"/>
    <w:rsid w:val="00A46196"/>
    <w:rsid w:val="00A47168"/>
    <w:rsid w:val="00A52D04"/>
    <w:rsid w:val="00A55855"/>
    <w:rsid w:val="00A56D6F"/>
    <w:rsid w:val="00A61620"/>
    <w:rsid w:val="00A62876"/>
    <w:rsid w:val="00A72D4C"/>
    <w:rsid w:val="00A7369A"/>
    <w:rsid w:val="00A73F5F"/>
    <w:rsid w:val="00A76236"/>
    <w:rsid w:val="00A76F72"/>
    <w:rsid w:val="00A7710B"/>
    <w:rsid w:val="00A85BC9"/>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0AE3"/>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6EB6"/>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339C"/>
    <w:rsid w:val="00BA507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1F8B"/>
    <w:rsid w:val="00C033E5"/>
    <w:rsid w:val="00C03767"/>
    <w:rsid w:val="00C04A1F"/>
    <w:rsid w:val="00C04A31"/>
    <w:rsid w:val="00C0554A"/>
    <w:rsid w:val="00C11D58"/>
    <w:rsid w:val="00C13A33"/>
    <w:rsid w:val="00C1408A"/>
    <w:rsid w:val="00C160A4"/>
    <w:rsid w:val="00C21D13"/>
    <w:rsid w:val="00C25CB5"/>
    <w:rsid w:val="00C26F3B"/>
    <w:rsid w:val="00C30BF8"/>
    <w:rsid w:val="00C32582"/>
    <w:rsid w:val="00C33A99"/>
    <w:rsid w:val="00C3419D"/>
    <w:rsid w:val="00C34A6E"/>
    <w:rsid w:val="00C421CA"/>
    <w:rsid w:val="00C46385"/>
    <w:rsid w:val="00C5084D"/>
    <w:rsid w:val="00C508D6"/>
    <w:rsid w:val="00C51A75"/>
    <w:rsid w:val="00C520E9"/>
    <w:rsid w:val="00C5255D"/>
    <w:rsid w:val="00C54AB8"/>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20A5"/>
    <w:rsid w:val="00CA3C33"/>
    <w:rsid w:val="00CA4369"/>
    <w:rsid w:val="00CA4660"/>
    <w:rsid w:val="00CA6583"/>
    <w:rsid w:val="00CB28C9"/>
    <w:rsid w:val="00CB672B"/>
    <w:rsid w:val="00CB7211"/>
    <w:rsid w:val="00CC1A98"/>
    <w:rsid w:val="00CC6723"/>
    <w:rsid w:val="00CC7EC5"/>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01D"/>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095F"/>
    <w:rsid w:val="00E11808"/>
    <w:rsid w:val="00E11F16"/>
    <w:rsid w:val="00E13BE2"/>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4FD9"/>
    <w:rsid w:val="00E55572"/>
    <w:rsid w:val="00E56193"/>
    <w:rsid w:val="00E56E4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33F3"/>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D7B9F"/>
    <w:rsid w:val="00EE082D"/>
    <w:rsid w:val="00EE2B02"/>
    <w:rsid w:val="00EE31B3"/>
    <w:rsid w:val="00EE392C"/>
    <w:rsid w:val="00EF081C"/>
    <w:rsid w:val="00EF11A3"/>
    <w:rsid w:val="00EF6DEE"/>
    <w:rsid w:val="00F023B8"/>
    <w:rsid w:val="00F03A81"/>
    <w:rsid w:val="00F10068"/>
    <w:rsid w:val="00F11DC3"/>
    <w:rsid w:val="00F158C5"/>
    <w:rsid w:val="00F20E21"/>
    <w:rsid w:val="00F212C3"/>
    <w:rsid w:val="00F252AD"/>
    <w:rsid w:val="00F320EF"/>
    <w:rsid w:val="00F3218A"/>
    <w:rsid w:val="00F34787"/>
    <w:rsid w:val="00F358CB"/>
    <w:rsid w:val="00F405D2"/>
    <w:rsid w:val="00F44AA9"/>
    <w:rsid w:val="00F45305"/>
    <w:rsid w:val="00F47743"/>
    <w:rsid w:val="00F519FB"/>
    <w:rsid w:val="00F54E2D"/>
    <w:rsid w:val="00F57119"/>
    <w:rsid w:val="00F60CB5"/>
    <w:rsid w:val="00F62D9A"/>
    <w:rsid w:val="00F70635"/>
    <w:rsid w:val="00F709F1"/>
    <w:rsid w:val="00F738B9"/>
    <w:rsid w:val="00F74241"/>
    <w:rsid w:val="00F77867"/>
    <w:rsid w:val="00F77A11"/>
    <w:rsid w:val="00F77AD1"/>
    <w:rsid w:val="00F804D1"/>
    <w:rsid w:val="00F81275"/>
    <w:rsid w:val="00F8766A"/>
    <w:rsid w:val="00F87B35"/>
    <w:rsid w:val="00F92391"/>
    <w:rsid w:val="00F96E1F"/>
    <w:rsid w:val="00FA0267"/>
    <w:rsid w:val="00FA0724"/>
    <w:rsid w:val="00FA1FBB"/>
    <w:rsid w:val="00FB3AD9"/>
    <w:rsid w:val="00FB783A"/>
    <w:rsid w:val="00FC08B7"/>
    <w:rsid w:val="00FC1114"/>
    <w:rsid w:val="00FC2270"/>
    <w:rsid w:val="00FC5035"/>
    <w:rsid w:val="00FC5AE6"/>
    <w:rsid w:val="00FC6A8F"/>
    <w:rsid w:val="00FD413B"/>
    <w:rsid w:val="00FD4E3A"/>
    <w:rsid w:val="00FD54FE"/>
    <w:rsid w:val="00FD6260"/>
    <w:rsid w:val="00FD70D0"/>
    <w:rsid w:val="00FE6C3B"/>
    <w:rsid w:val="00FE7D95"/>
    <w:rsid w:val="00FF03A8"/>
    <w:rsid w:val="00FF0482"/>
    <w:rsid w:val="00FF192D"/>
    <w:rsid w:val="00FF56E3"/>
    <w:rsid w:val="00FF684C"/>
    <w:rsid w:val="00FF760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rsid w:val="00455CB3"/>
    <w:rPr>
      <w:rFonts w:ascii="Verdana" w:hAnsi="Verdana"/>
      <w:sz w:val="20"/>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9A57D4"/>
    <w:rPr>
      <w:rFonts w:ascii="Verdana" w:hAnsi="Verdana" w:cs="Times New Roman"/>
      <w:sz w:val="24"/>
      <w:szCs w:val="24"/>
      <w:lang w:val="en-GB"/>
    </w:rPr>
  </w:style>
  <w:style w:type="table" w:styleId="TableGrid">
    <w:name w:val="Table Grid"/>
    <w:basedOn w:val="TableNormal"/>
    <w:uiPriority w:val="99"/>
    <w:rsid w:val="009A57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A57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57D4"/>
    <w:rPr>
      <w:rFonts w:ascii="Tahoma" w:hAnsi="Tahoma" w:cs="Tahoma"/>
      <w:sz w:val="16"/>
      <w:szCs w:val="16"/>
      <w:lang w:val="en-GB"/>
    </w:rPr>
  </w:style>
  <w:style w:type="character" w:styleId="FootnoteReference">
    <w:name w:val="footnote reference"/>
    <w:basedOn w:val="DefaultParagraphFont"/>
    <w:uiPriority w:val="99"/>
    <w:semiHidden/>
    <w:rsid w:val="009A57D4"/>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9A57D4"/>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9A57D4"/>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194124777">
      <w:marLeft w:val="0"/>
      <w:marRight w:val="0"/>
      <w:marTop w:val="0"/>
      <w:marBottom w:val="0"/>
      <w:divBdr>
        <w:top w:val="none" w:sz="0" w:space="0" w:color="auto"/>
        <w:left w:val="none" w:sz="0" w:space="0" w:color="auto"/>
        <w:bottom w:val="none" w:sz="0" w:space="0" w:color="auto"/>
        <w:right w:val="none" w:sz="0" w:space="0" w:color="auto"/>
      </w:divBdr>
    </w:div>
    <w:div w:id="194124778">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194124782">
      <w:marLeft w:val="0"/>
      <w:marRight w:val="0"/>
      <w:marTop w:val="0"/>
      <w:marBottom w:val="0"/>
      <w:divBdr>
        <w:top w:val="none" w:sz="0" w:space="0" w:color="auto"/>
        <w:left w:val="none" w:sz="0" w:space="0" w:color="auto"/>
        <w:bottom w:val="none" w:sz="0" w:space="0" w:color="auto"/>
        <w:right w:val="none" w:sz="0" w:space="0" w:color="auto"/>
      </w:divBdr>
      <w:divsChild>
        <w:div w:id="194124776">
          <w:marLeft w:val="1123"/>
          <w:marRight w:val="0"/>
          <w:marTop w:val="0"/>
          <w:marBottom w:val="0"/>
          <w:divBdr>
            <w:top w:val="none" w:sz="0" w:space="0" w:color="auto"/>
            <w:left w:val="none" w:sz="0" w:space="0" w:color="auto"/>
            <w:bottom w:val="none" w:sz="0" w:space="0" w:color="auto"/>
            <w:right w:val="none" w:sz="0" w:space="0" w:color="auto"/>
          </w:divBdr>
        </w:div>
        <w:div w:id="194124780">
          <w:marLeft w:val="1123"/>
          <w:marRight w:val="0"/>
          <w:marTop w:val="0"/>
          <w:marBottom w:val="0"/>
          <w:divBdr>
            <w:top w:val="none" w:sz="0" w:space="0" w:color="auto"/>
            <w:left w:val="none" w:sz="0" w:space="0" w:color="auto"/>
            <w:bottom w:val="none" w:sz="0" w:space="0" w:color="auto"/>
            <w:right w:val="none" w:sz="0" w:space="0" w:color="auto"/>
          </w:divBdr>
        </w:div>
        <w:div w:id="194124781">
          <w:marLeft w:val="1123"/>
          <w:marRight w:val="0"/>
          <w:marTop w:val="0"/>
          <w:marBottom w:val="0"/>
          <w:divBdr>
            <w:top w:val="none" w:sz="0" w:space="0" w:color="auto"/>
            <w:left w:val="none" w:sz="0" w:space="0" w:color="auto"/>
            <w:bottom w:val="none" w:sz="0" w:space="0" w:color="auto"/>
            <w:right w:val="none" w:sz="0" w:space="0" w:color="auto"/>
          </w:divBdr>
        </w:div>
        <w:div w:id="194124786">
          <w:marLeft w:val="1123"/>
          <w:marRight w:val="0"/>
          <w:marTop w:val="0"/>
          <w:marBottom w:val="0"/>
          <w:divBdr>
            <w:top w:val="none" w:sz="0" w:space="0" w:color="auto"/>
            <w:left w:val="none" w:sz="0" w:space="0" w:color="auto"/>
            <w:bottom w:val="none" w:sz="0" w:space="0" w:color="auto"/>
            <w:right w:val="none" w:sz="0" w:space="0" w:color="auto"/>
          </w:divBdr>
        </w:div>
        <w:div w:id="194124789">
          <w:marLeft w:val="1123"/>
          <w:marRight w:val="0"/>
          <w:marTop w:val="0"/>
          <w:marBottom w:val="0"/>
          <w:divBdr>
            <w:top w:val="none" w:sz="0" w:space="0" w:color="auto"/>
            <w:left w:val="none" w:sz="0" w:space="0" w:color="auto"/>
            <w:bottom w:val="none" w:sz="0" w:space="0" w:color="auto"/>
            <w:right w:val="none" w:sz="0" w:space="0" w:color="auto"/>
          </w:divBdr>
        </w:div>
        <w:div w:id="194124792">
          <w:marLeft w:val="1123"/>
          <w:marRight w:val="0"/>
          <w:marTop w:val="0"/>
          <w:marBottom w:val="0"/>
          <w:divBdr>
            <w:top w:val="none" w:sz="0" w:space="0" w:color="auto"/>
            <w:left w:val="none" w:sz="0" w:space="0" w:color="auto"/>
            <w:bottom w:val="none" w:sz="0" w:space="0" w:color="auto"/>
            <w:right w:val="none" w:sz="0" w:space="0" w:color="auto"/>
          </w:divBdr>
        </w:div>
        <w:div w:id="194124793">
          <w:marLeft w:val="1123"/>
          <w:marRight w:val="0"/>
          <w:marTop w:val="0"/>
          <w:marBottom w:val="0"/>
          <w:divBdr>
            <w:top w:val="none" w:sz="0" w:space="0" w:color="auto"/>
            <w:left w:val="none" w:sz="0" w:space="0" w:color="auto"/>
            <w:bottom w:val="none" w:sz="0" w:space="0" w:color="auto"/>
            <w:right w:val="none" w:sz="0" w:space="0" w:color="auto"/>
          </w:divBdr>
        </w:div>
      </w:divsChild>
    </w:div>
    <w:div w:id="194124783">
      <w:marLeft w:val="0"/>
      <w:marRight w:val="0"/>
      <w:marTop w:val="0"/>
      <w:marBottom w:val="0"/>
      <w:divBdr>
        <w:top w:val="none" w:sz="0" w:space="0" w:color="auto"/>
        <w:left w:val="none" w:sz="0" w:space="0" w:color="auto"/>
        <w:bottom w:val="none" w:sz="0" w:space="0" w:color="auto"/>
        <w:right w:val="none" w:sz="0" w:space="0" w:color="auto"/>
      </w:divBdr>
    </w:div>
    <w:div w:id="194124784">
      <w:marLeft w:val="0"/>
      <w:marRight w:val="0"/>
      <w:marTop w:val="0"/>
      <w:marBottom w:val="0"/>
      <w:divBdr>
        <w:top w:val="none" w:sz="0" w:space="0" w:color="auto"/>
        <w:left w:val="none" w:sz="0" w:space="0" w:color="auto"/>
        <w:bottom w:val="none" w:sz="0" w:space="0" w:color="auto"/>
        <w:right w:val="none" w:sz="0" w:space="0" w:color="auto"/>
      </w:divBdr>
    </w:div>
    <w:div w:id="194124785">
      <w:marLeft w:val="0"/>
      <w:marRight w:val="0"/>
      <w:marTop w:val="0"/>
      <w:marBottom w:val="0"/>
      <w:divBdr>
        <w:top w:val="none" w:sz="0" w:space="0" w:color="auto"/>
        <w:left w:val="none" w:sz="0" w:space="0" w:color="auto"/>
        <w:bottom w:val="none" w:sz="0" w:space="0" w:color="auto"/>
        <w:right w:val="none" w:sz="0" w:space="0" w:color="auto"/>
      </w:divBdr>
    </w:div>
    <w:div w:id="194124787">
      <w:marLeft w:val="0"/>
      <w:marRight w:val="0"/>
      <w:marTop w:val="0"/>
      <w:marBottom w:val="0"/>
      <w:divBdr>
        <w:top w:val="none" w:sz="0" w:space="0" w:color="auto"/>
        <w:left w:val="none" w:sz="0" w:space="0" w:color="auto"/>
        <w:bottom w:val="none" w:sz="0" w:space="0" w:color="auto"/>
        <w:right w:val="none" w:sz="0" w:space="0" w:color="auto"/>
      </w:divBdr>
    </w:div>
    <w:div w:id="194124788">
      <w:marLeft w:val="0"/>
      <w:marRight w:val="0"/>
      <w:marTop w:val="0"/>
      <w:marBottom w:val="0"/>
      <w:divBdr>
        <w:top w:val="none" w:sz="0" w:space="0" w:color="auto"/>
        <w:left w:val="none" w:sz="0" w:space="0" w:color="auto"/>
        <w:bottom w:val="none" w:sz="0" w:space="0" w:color="auto"/>
        <w:right w:val="none" w:sz="0" w:space="0" w:color="auto"/>
      </w:divBdr>
    </w:div>
    <w:div w:id="194124790">
      <w:marLeft w:val="0"/>
      <w:marRight w:val="0"/>
      <w:marTop w:val="0"/>
      <w:marBottom w:val="0"/>
      <w:divBdr>
        <w:top w:val="none" w:sz="0" w:space="0" w:color="auto"/>
        <w:left w:val="none" w:sz="0" w:space="0" w:color="auto"/>
        <w:bottom w:val="none" w:sz="0" w:space="0" w:color="auto"/>
        <w:right w:val="none" w:sz="0" w:space="0" w:color="auto"/>
      </w:divBdr>
    </w:div>
    <w:div w:id="194124791">
      <w:marLeft w:val="0"/>
      <w:marRight w:val="0"/>
      <w:marTop w:val="0"/>
      <w:marBottom w:val="0"/>
      <w:divBdr>
        <w:top w:val="none" w:sz="0" w:space="0" w:color="auto"/>
        <w:left w:val="none" w:sz="0" w:space="0" w:color="auto"/>
        <w:bottom w:val="none" w:sz="0" w:space="0" w:color="auto"/>
        <w:right w:val="none" w:sz="0" w:space="0" w:color="auto"/>
      </w:divBdr>
    </w:div>
    <w:div w:id="771752471">
      <w:bodyDiv w:val="1"/>
      <w:marLeft w:val="0"/>
      <w:marRight w:val="0"/>
      <w:marTop w:val="0"/>
      <w:marBottom w:val="0"/>
      <w:divBdr>
        <w:top w:val="none" w:sz="0" w:space="0" w:color="auto"/>
        <w:left w:val="none" w:sz="0" w:space="0" w:color="auto"/>
        <w:bottom w:val="none" w:sz="0" w:space="0" w:color="auto"/>
        <w:right w:val="none" w:sz="0" w:space="0" w:color="auto"/>
      </w:divBdr>
    </w:div>
    <w:div w:id="798689039">
      <w:bodyDiv w:val="1"/>
      <w:marLeft w:val="0"/>
      <w:marRight w:val="0"/>
      <w:marTop w:val="0"/>
      <w:marBottom w:val="0"/>
      <w:divBdr>
        <w:top w:val="none" w:sz="0" w:space="0" w:color="auto"/>
        <w:left w:val="none" w:sz="0" w:space="0" w:color="auto"/>
        <w:bottom w:val="none" w:sz="0" w:space="0" w:color="auto"/>
        <w:right w:val="none" w:sz="0" w:space="0" w:color="auto"/>
      </w:divBdr>
    </w:div>
    <w:div w:id="197336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2794</Words>
  <Characters>15929</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Annex 10: (Draft) final reports template</vt:lpstr>
    </vt:vector>
  </TitlesOfParts>
  <Company>crp Henri Tudor</Company>
  <LinksUpToDate>false</LinksUpToDate>
  <CharactersWithSpaces>18686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11</cp:revision>
  <cp:lastPrinted>2012-11-10T16:45:00Z</cp:lastPrinted>
  <dcterms:created xsi:type="dcterms:W3CDTF">2012-11-20T10:59:00Z</dcterms:created>
  <dcterms:modified xsi:type="dcterms:W3CDTF">2012-11-27T12:53:00Z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