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5B5D5A" w:rsidRDefault="00882B24" w:rsidP="000D3299">
      <w:pPr>
        <w:spacing w:line="240" w:lineRule="auto"/>
        <w:ind w:left="-851"/>
        <w:jc w:val="center"/>
        <w:rPr>
          <w:rFonts w:ascii="Arial" w:hAnsi="Arial" w:cs="Arial"/>
          <w:sz w:val="40"/>
          <w:szCs w:val="40"/>
          <w:lang w:val="en-US"/>
        </w:rPr>
      </w:pPr>
      <w:r w:rsidRPr="005B5D5A">
        <w:rPr>
          <w:rFonts w:ascii="Arial" w:hAnsi="Arial" w:cs="Arial"/>
          <w:sz w:val="40"/>
          <w:szCs w:val="40"/>
          <w:lang w:val="en-US"/>
        </w:rPr>
        <w:t>Italy – Switzerland</w:t>
      </w:r>
    </w:p>
    <w:p w:rsidR="005070C8" w:rsidRDefault="00561AAC"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708928" behindDoc="0" locked="0" layoutInCell="1" allowOverlap="1">
            <wp:simplePos x="0" y="0"/>
            <wp:positionH relativeFrom="column">
              <wp:posOffset>3074670</wp:posOffset>
            </wp:positionH>
            <wp:positionV relativeFrom="paragraph">
              <wp:posOffset>4172585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882B24">
        <w:rPr>
          <w:rFonts w:ascii="Arial" w:hAnsi="Arial" w:cs="Arial"/>
          <w:noProof/>
          <w:sz w:val="32"/>
          <w:szCs w:val="32"/>
          <w:lang w:val="en-US"/>
        </w:rPr>
        <w:drawing>
          <wp:inline distT="0" distB="0" distL="0" distR="0">
            <wp:extent cx="3486150" cy="4838700"/>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86150" cy="4838700"/>
                    </a:xfrm>
                    <a:prstGeom prst="rect">
                      <a:avLst/>
                    </a:prstGeom>
                    <a:noFill/>
                    <a:ln w="9525">
                      <a:noFill/>
                      <a:miter lim="800000"/>
                      <a:headEnd/>
                      <a:tailEnd/>
                    </a:ln>
                  </pic:spPr>
                </pic:pic>
              </a:graphicData>
            </a:graphic>
          </wp:inline>
        </w:drawing>
      </w:r>
    </w:p>
    <w:p w:rsidR="007B09FE" w:rsidRDefault="007B09FE" w:rsidP="00337519">
      <w:pPr>
        <w:spacing w:after="0" w:line="240" w:lineRule="auto"/>
        <w:ind w:left="-851"/>
        <w:jc w:val="center"/>
        <w:rPr>
          <w:rFonts w:ascii="Arial" w:hAnsi="Arial" w:cs="Arial"/>
          <w:sz w:val="32"/>
          <w:szCs w:val="32"/>
          <w:lang w:val="en-US"/>
        </w:rPr>
      </w:pPr>
    </w:p>
    <w:p w:rsidR="005B5D5A" w:rsidRDefault="005B5D5A" w:rsidP="005B5D5A">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5B5D5A" w:rsidRDefault="005B5D5A" w:rsidP="005B5D5A">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BF0F9F" w:rsidRPr="0085195F" w:rsidRDefault="000A647A" w:rsidP="00BF0F9F">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BF0F9F" w:rsidRPr="0085195F">
        <w:t>This is intended as an electronic publication so map quality is generally high to allow users to zoom into specific territories.</w:t>
      </w:r>
    </w:p>
    <w:p w:rsidR="000A647A" w:rsidRDefault="00BF0F9F" w:rsidP="00BF0F9F">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130AE4" w:rsidRDefault="00130AE4" w:rsidP="00130AE4">
      <w:r>
        <w:t>In the following the traffic light for each indicator represents how your programme territory compares to wider European and national medians where green = your programme area performs better for that indicator, yel</w:t>
      </w:r>
      <w:r w:rsidR="00BF0F9F">
        <w:t>low = similar, and red = worse.</w:t>
      </w:r>
    </w:p>
    <w:p w:rsidR="00816D4D" w:rsidRDefault="00130AE4" w:rsidP="00816D4D">
      <w:r>
        <w:t xml:space="preserve">In creating the traffic </w:t>
      </w:r>
      <w:r w:rsidR="00816D4D">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AA496F" w:rsidRPr="00973E76" w:rsidRDefault="00AA496F" w:rsidP="00AA496F">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647000">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572F6C" w:rsidRDefault="00667CED" w:rsidP="00667CED">
      <w:r>
        <w:rPr>
          <w:noProof/>
          <w:lang w:val="en-US"/>
        </w:rPr>
        <w:drawing>
          <wp:anchor distT="0" distB="0" distL="114300" distR="114300" simplePos="0" relativeHeight="251718144" behindDoc="1" locked="0" layoutInCell="1" allowOverlap="1">
            <wp:simplePos x="0" y="0"/>
            <wp:positionH relativeFrom="column">
              <wp:posOffset>-16510</wp:posOffset>
            </wp:positionH>
            <wp:positionV relativeFrom="paragraph">
              <wp:posOffset>4445</wp:posOffset>
            </wp:positionV>
            <wp:extent cx="5273675" cy="2668270"/>
            <wp:effectExtent l="19050" t="0" r="3175" b="0"/>
            <wp:wrapTight wrapText="bothSides">
              <wp:wrapPolygon edited="0">
                <wp:start x="-78" y="0"/>
                <wp:lineTo x="-78" y="21436"/>
                <wp:lineTo x="21613" y="21436"/>
                <wp:lineTo x="21613" y="0"/>
                <wp:lineTo x="-78" y="0"/>
              </wp:wrapPolygon>
            </wp:wrapTight>
            <wp:docPr id="8" name="Bild 1" descr="P:\LU_2011_ESPON_TerrEvi_100269\03_Project development\WorkinProgress_FactSheets\Factsheets_CBC_neu\TL_CBC2\CBC Programme Italy_Switzerla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2\CBC Programme Italy_Switzerland 1.png"/>
                    <pic:cNvPicPr>
                      <a:picLocks noChangeAspect="1" noChangeArrowheads="1"/>
                    </pic:cNvPicPr>
                  </pic:nvPicPr>
                  <pic:blipFill>
                    <a:blip r:embed="rId16" cstate="print"/>
                    <a:srcRect/>
                    <a:stretch>
                      <a:fillRect/>
                    </a:stretch>
                  </pic:blipFill>
                  <pic:spPr bwMode="auto">
                    <a:xfrm>
                      <a:off x="0" y="0"/>
                      <a:ext cx="5273675" cy="2668270"/>
                    </a:xfrm>
                    <a:prstGeom prst="rect">
                      <a:avLst/>
                    </a:prstGeom>
                    <a:noFill/>
                    <a:ln w="9525">
                      <a:noFill/>
                      <a:miter lim="800000"/>
                      <a:headEnd/>
                      <a:tailEnd/>
                    </a:ln>
                  </pic:spPr>
                </pic:pic>
              </a:graphicData>
            </a:graphic>
          </wp:anchor>
        </w:drawing>
      </w:r>
      <w:r w:rsidR="00572F6C" w:rsidRPr="0086724C">
        <w:t>According to the ratio of employment in knowledge-intensive service to the total employment in 2010, Italy-Switzerland CBC area has similar values to both the EU27+4 space and all CBCs; slightly higher than Italy and lower than Switzerland. The distribution inside the CBC results in a medium level of internal disparity. For the rest of the indicator we have no comparable data.</w:t>
      </w:r>
    </w:p>
    <w:p w:rsidR="00C45500" w:rsidRDefault="00C45500" w:rsidP="00C45500">
      <w:r>
        <w:lastRenderedPageBreak/>
        <w:t xml:space="preserve">According to the classification of the KIT project, MAP 1 identifies two territorial patterns of innovation: </w:t>
      </w:r>
    </w:p>
    <w:p w:rsidR="00C45500" w:rsidRPr="00D408B6" w:rsidRDefault="00C45500" w:rsidP="00C45500">
      <w:pPr>
        <w:pStyle w:val="ListParagraph"/>
        <w:numPr>
          <w:ilvl w:val="0"/>
          <w:numId w:val="25"/>
        </w:numPr>
        <w:rPr>
          <w:szCs w:val="20"/>
        </w:rPr>
      </w:pPr>
      <w:r>
        <w:rPr>
          <w:rFonts w:cstheme="minorHAnsi"/>
          <w:szCs w:val="20"/>
        </w:rPr>
        <w:t xml:space="preserve">‘Smart and creative diversification area’, in both sides, i.e. the county of </w:t>
      </w:r>
      <w:r w:rsidRPr="00D408B6">
        <w:t>Ticino in Switzerland; Val d’Aosta and Bolzano/Bozen in Italy</w:t>
      </w:r>
      <w:r>
        <w:rPr>
          <w:rFonts w:cstheme="minorHAnsi"/>
          <w:szCs w:val="20"/>
        </w:rPr>
        <w:t xml:space="preserve">. It is defined by a low degree of local diversified applied knowledge, internal innovation capacity, high degree of local competences, creativity and entrepreneurship, external knowledge embedded in technical and organizational capabilities;  </w:t>
      </w:r>
    </w:p>
    <w:p w:rsidR="00C45500" w:rsidRPr="00572F6C" w:rsidRDefault="00C45500" w:rsidP="00C45500">
      <w:pPr>
        <w:pStyle w:val="ListParagraph"/>
        <w:numPr>
          <w:ilvl w:val="0"/>
          <w:numId w:val="25"/>
        </w:numPr>
        <w:rPr>
          <w:szCs w:val="20"/>
        </w:rPr>
      </w:pPr>
      <w:r w:rsidRPr="00AD2C00">
        <w:rPr>
          <w:rFonts w:cstheme="minorHAnsi"/>
          <w:szCs w:val="20"/>
        </w:rPr>
        <w:t xml:space="preserve">‘Applied science area’, in the </w:t>
      </w:r>
      <w:r>
        <w:rPr>
          <w:rFonts w:cs="Verdana"/>
          <w:szCs w:val="20"/>
          <w:lang w:eastAsia="de-DE"/>
        </w:rPr>
        <w:t xml:space="preserve">Swiss </w:t>
      </w:r>
      <w:r w:rsidRPr="00D408B6">
        <w:rPr>
          <w:rFonts w:cs="Verdana"/>
          <w:szCs w:val="20"/>
          <w:lang w:eastAsia="de-DE"/>
        </w:rPr>
        <w:t>G</w:t>
      </w:r>
      <w:r w:rsidRPr="00D408B6">
        <w:t>risons region</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p>
    <w:p w:rsidR="00C45500" w:rsidRDefault="00C45500" w:rsidP="00C45500">
      <w:pPr>
        <w:pStyle w:val="ListParagraph"/>
        <w:numPr>
          <w:ilvl w:val="0"/>
          <w:numId w:val="25"/>
        </w:numPr>
      </w:pPr>
      <w:r w:rsidRPr="00816D4D">
        <w:rPr>
          <w:rFonts w:cstheme="minorHAnsi"/>
          <w:szCs w:val="20"/>
        </w:rPr>
        <w:t>‘Smart technological application area’, in both sides</w:t>
      </w:r>
      <w:r>
        <w:rPr>
          <w:rFonts w:cstheme="minorHAnsi"/>
          <w:szCs w:val="20"/>
        </w:rPr>
        <w:t>, i.e.</w:t>
      </w:r>
      <w:r w:rsidRPr="00D408B6">
        <w:rPr>
          <w:rFonts w:cs="Arial"/>
          <w:color w:val="003399"/>
        </w:rPr>
        <w:t xml:space="preserve"> </w:t>
      </w:r>
      <w:r w:rsidRPr="00D408B6">
        <w:rPr>
          <w:rFonts w:cs="Arial"/>
        </w:rPr>
        <w:t>the Swiss county of Valais; the Italian provinces of Verbano-Cusio-Ossola, Biella, Vercelli and Novara, Varese, Como, Lecce and Sondrio</w:t>
      </w:r>
      <w:r w:rsidRPr="00D408B6">
        <w:rPr>
          <w:rFonts w:cstheme="minorHAnsi"/>
          <w:szCs w:val="20"/>
        </w:rPr>
        <w:t>. It is defined by a high product innovation level, with a limited degree of local applied science and R&amp;D endowment, and a high creativity which allows translating external basic science and applied science knowledge into innovation.</w:t>
      </w:r>
    </w:p>
    <w:p w:rsidR="00C45500" w:rsidRDefault="00C45500">
      <w:pPr>
        <w:spacing w:after="0" w:line="240" w:lineRule="auto"/>
        <w:jc w:val="left"/>
      </w:pPr>
      <w:r>
        <w:br w:type="page"/>
      </w:r>
    </w:p>
    <w:p w:rsidR="00A06AEA" w:rsidRPr="004C764D" w:rsidRDefault="00337872" w:rsidP="00A06AEA">
      <w:pPr>
        <w:rPr>
          <w:b/>
          <w:lang w:val="en-US"/>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882B24">
        <w:rPr>
          <w:b/>
        </w:rPr>
        <w:t>Italy – Switzerland</w:t>
      </w:r>
    </w:p>
    <w:p w:rsidR="008A3B96" w:rsidRDefault="008A3B96" w:rsidP="008A3B96"/>
    <w:p w:rsidR="008A3B96" w:rsidRDefault="00F84B06" w:rsidP="008A3B96">
      <w:pPr>
        <w:spacing w:after="0" w:line="240" w:lineRule="auto"/>
      </w:pPr>
      <w:r w:rsidRPr="00F84B06">
        <w:rPr>
          <w:noProof/>
          <w:lang w:val="de-DE" w:eastAsia="de-DE"/>
        </w:rPr>
        <w:pict>
          <v:oval id="_x0000_s1053" style="position:absolute;left:0;text-align:left;margin-left:155.45pt;margin-top:261.2pt;width:53.6pt;height:29pt;rotation:-822151fd;z-index:251709952" filled="f" strokecolor="#0070c0" strokeweight="2pt"/>
        </w:pict>
      </w:r>
      <w:r w:rsidR="0006621E">
        <w:rPr>
          <w:noProof/>
          <w:lang w:val="en-US"/>
        </w:rPr>
        <w:drawing>
          <wp:inline distT="0" distB="0" distL="0" distR="0">
            <wp:extent cx="5278755" cy="6284584"/>
            <wp:effectExtent l="19050" t="0" r="0" b="0"/>
            <wp:docPr id="1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832E79">
        <w:lastRenderedPageBreak/>
        <w:t>Sustainable growth</w:t>
      </w:r>
      <w:r w:rsidRPr="00337872">
        <w:t xml:space="preserve"> </w:t>
      </w:r>
    </w:p>
    <w:p w:rsidR="004F26B8" w:rsidRDefault="00667CED" w:rsidP="00C00C96">
      <w:r>
        <w:rPr>
          <w:noProof/>
          <w:lang w:val="en-US"/>
        </w:rPr>
        <w:drawing>
          <wp:anchor distT="0" distB="0" distL="114300" distR="114300" simplePos="0" relativeHeight="251719168" behindDoc="1" locked="0" layoutInCell="1" allowOverlap="1">
            <wp:simplePos x="0" y="0"/>
            <wp:positionH relativeFrom="column">
              <wp:posOffset>-16510</wp:posOffset>
            </wp:positionH>
            <wp:positionV relativeFrom="paragraph">
              <wp:posOffset>1273175</wp:posOffset>
            </wp:positionV>
            <wp:extent cx="5273675" cy="2955290"/>
            <wp:effectExtent l="19050" t="0" r="3175" b="0"/>
            <wp:wrapTight wrapText="bothSides">
              <wp:wrapPolygon edited="0">
                <wp:start x="-78" y="0"/>
                <wp:lineTo x="-78" y="21442"/>
                <wp:lineTo x="21613" y="21442"/>
                <wp:lineTo x="21613" y="0"/>
                <wp:lineTo x="-78" y="0"/>
              </wp:wrapPolygon>
            </wp:wrapTight>
            <wp:docPr id="9" name="Bild 2" descr="P:\LU_2011_ESPON_TerrEvi_100269\03_Project development\WorkinProgress_FactSheets\Factsheets_CBC_neu\TL_CBC2\CBC Programme Italy_Switzerla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2\CBC Programme Italy_Switzerland 2.png"/>
                    <pic:cNvPicPr>
                      <a:picLocks noChangeAspect="1" noChangeArrowheads="1"/>
                    </pic:cNvPicPr>
                  </pic:nvPicPr>
                  <pic:blipFill>
                    <a:blip r:embed="rId18" cstate="print"/>
                    <a:srcRect/>
                    <a:stretch>
                      <a:fillRect/>
                    </a:stretch>
                  </pic:blipFill>
                  <pic:spPr bwMode="auto">
                    <a:xfrm>
                      <a:off x="0" y="0"/>
                      <a:ext cx="5273675" cy="2955290"/>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3B3EAF">
        <w:t>In the framework of the Europe</w:t>
      </w:r>
      <w:r w:rsidR="00276DA6">
        <w:t xml:space="preserve"> 2020 Strategy it means </w:t>
      </w:r>
      <w:r w:rsidR="006D6890">
        <w:t>focus on competitiveness, resource efficiency, climate change and biodiversity</w:t>
      </w:r>
      <w:r w:rsidR="00276DA6">
        <w:t>.</w:t>
      </w:r>
    </w:p>
    <w:p w:rsidR="005A5FC4" w:rsidRDefault="00872A80" w:rsidP="00C00C96">
      <w:r>
        <w:t xml:space="preserve">As far as sustainable growth indicators are concerned, data are only available for the ‘wind energy potential’ of the CBC region. </w:t>
      </w:r>
      <w:r w:rsidR="0083282E">
        <w:t>According to this</w:t>
      </w:r>
      <w:r w:rsidR="00341CE3">
        <w:t xml:space="preserve"> data, the</w:t>
      </w:r>
      <w:r>
        <w:t xml:space="preserve"> CBC programme area has considera</w:t>
      </w:r>
      <w:r w:rsidR="00341CE3">
        <w:t>bly lower wind energy potential</w:t>
      </w:r>
      <w:r>
        <w:t xml:space="preserve"> than other EU-27+4 or CBC regions. The median value </w:t>
      </w:r>
      <w:r w:rsidR="00341CE3">
        <w:t xml:space="preserve">(of the same indicator) </w:t>
      </w:r>
      <w:r>
        <w:t>of the CBC area is also lower than that of Italy, and</w:t>
      </w:r>
      <w:r w:rsidR="00341CE3">
        <w:t xml:space="preserve"> it</w:t>
      </w:r>
      <w:r>
        <w:t xml:space="preserve"> is at around the same level </w:t>
      </w:r>
      <w:r w:rsidR="00341CE3">
        <w:t>as</w:t>
      </w:r>
      <w:r>
        <w:t xml:space="preserve"> that of Switzerland. A similar picture emerges when we look at the CBC region’s level of combined adaptive capacity to climate change: BOX-PLOT 1 shows that almost all NUTS3 regions of the programme have a weaker adaptive capacity than most other EU-27+4 or CBC regions. At the same time the NUTS3 </w:t>
      </w:r>
      <w:r w:rsidR="00D669F5">
        <w:t>border-</w:t>
      </w:r>
      <w:r>
        <w:t xml:space="preserve">regions of the programme </w:t>
      </w:r>
      <w:r w:rsidR="00442FAE">
        <w:t xml:space="preserve">generally </w:t>
      </w:r>
      <w:r>
        <w:t xml:space="preserve">demonstrate a </w:t>
      </w:r>
      <w:r w:rsidR="00341CE3">
        <w:t xml:space="preserve">similar or slightly </w:t>
      </w:r>
      <w:r>
        <w:t>higher</w:t>
      </w:r>
      <w:r w:rsidR="00442FAE">
        <w:t xml:space="preserve"> value</w:t>
      </w:r>
      <w:r>
        <w:t xml:space="preserve"> than the national median</w:t>
      </w:r>
      <w:r w:rsidR="0083282E">
        <w:t xml:space="preserve"> of Italy</w:t>
      </w:r>
      <w:r>
        <w:t xml:space="preserve"> </w:t>
      </w:r>
      <w:r w:rsidR="0083282E">
        <w:t xml:space="preserve">concerning </w:t>
      </w:r>
      <w:r w:rsidR="00442FAE">
        <w:t>adap</w:t>
      </w:r>
      <w:r w:rsidR="00341CE3">
        <w:t>tive capacity to climate change</w:t>
      </w:r>
      <w:r>
        <w:t>.</w:t>
      </w:r>
      <w:r w:rsidR="00341CE3">
        <w:t xml:space="preserve"> According to MAP 2 Directive 11 has </w:t>
      </w:r>
      <w:r w:rsidR="00341CE3" w:rsidRPr="00572F6C">
        <w:t>high territorial impact on fossil fuel consumption in the</w:t>
      </w:r>
      <w:r w:rsidR="00D25D5B" w:rsidRPr="00572F6C">
        <w:t xml:space="preserve"> border</w:t>
      </w:r>
      <w:r w:rsidR="00341CE3" w:rsidRPr="00572F6C">
        <w:t xml:space="preserve"> region of Lombardy</w:t>
      </w:r>
      <w:r w:rsidR="00D669F5" w:rsidRPr="00572F6C">
        <w:t xml:space="preserve"> only</w:t>
      </w:r>
      <w:r w:rsidR="00341CE3" w:rsidRPr="00572F6C">
        <w:t>.</w:t>
      </w:r>
    </w:p>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882B24">
        <w:rPr>
          <w:b/>
        </w:rPr>
        <w:t>Italy – Switzerland</w:t>
      </w:r>
    </w:p>
    <w:p w:rsidR="00D26713" w:rsidRDefault="00D26713" w:rsidP="00D26713">
      <w:pPr>
        <w:spacing w:after="0" w:line="240" w:lineRule="auto"/>
        <w:rPr>
          <w:noProof/>
          <w:lang w:eastAsia="en-GB"/>
        </w:rPr>
      </w:pPr>
    </w:p>
    <w:p w:rsidR="00D26713" w:rsidRDefault="00F84B06" w:rsidP="00D26713">
      <w:pPr>
        <w:spacing w:after="0" w:line="240" w:lineRule="auto"/>
        <w:rPr>
          <w:noProof/>
          <w:lang w:eastAsia="en-GB"/>
        </w:rPr>
      </w:pPr>
      <w:r w:rsidRPr="00F84B06">
        <w:rPr>
          <w:noProof/>
          <w:lang w:val="de-DE" w:eastAsia="de-DE"/>
        </w:rPr>
        <w:pict>
          <v:oval id="_x0000_s1054" style="position:absolute;left:0;text-align:left;margin-left:174.1pt;margin-top:225.4pt;width:53.6pt;height:29pt;rotation:-822151fd;z-index:251710976" filled="f" strokecolor="#0070c0" strokeweight="2pt"/>
        </w:pict>
      </w:r>
      <w:r w:rsidR="0006621E">
        <w:rPr>
          <w:noProof/>
          <w:lang w:val="en-US"/>
        </w:rPr>
        <w:drawing>
          <wp:inline distT="0" distB="0" distL="0" distR="0">
            <wp:extent cx="5278755" cy="5815626"/>
            <wp:effectExtent l="19050" t="0" r="0"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5A5FC4" w:rsidRDefault="006E618B" w:rsidP="005A5FC4">
      <w:pPr>
        <w:rPr>
          <w:b/>
        </w:rPr>
      </w:pPr>
      <w:r w:rsidRPr="0031622E">
        <w:rPr>
          <w:b/>
        </w:rPr>
        <w:lastRenderedPageBreak/>
        <w:t>BOX</w:t>
      </w:r>
      <w:r w:rsidR="0054220D" w:rsidRPr="0031622E">
        <w:rPr>
          <w:b/>
        </w:rPr>
        <w:t>-</w:t>
      </w:r>
      <w:r w:rsidRPr="0031622E">
        <w:rPr>
          <w:b/>
        </w:rPr>
        <w:t>PLOT</w:t>
      </w:r>
      <w:r w:rsidR="00016B50" w:rsidRPr="0031622E">
        <w:rPr>
          <w:b/>
        </w:rPr>
        <w:t xml:space="preserve"> 1 – </w:t>
      </w:r>
      <w:r w:rsidRPr="0031622E">
        <w:rPr>
          <w:b/>
        </w:rPr>
        <w:t>Combined adaptive capacity to climate change (ESPON CLIMATE project)</w:t>
      </w:r>
      <w:r w:rsidR="002371D8" w:rsidRPr="0031622E">
        <w:rPr>
          <w:b/>
        </w:rPr>
        <w:t xml:space="preserve"> for the CBC </w:t>
      </w:r>
      <w:r w:rsidR="00882B24" w:rsidRPr="0031622E">
        <w:rPr>
          <w:b/>
        </w:rPr>
        <w:t>Italy – Switzerland</w:t>
      </w:r>
    </w:p>
    <w:p w:rsidR="00AA496F" w:rsidRPr="00021CAB" w:rsidRDefault="00AA496F" w:rsidP="00AA496F">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31622E" w:rsidP="006E618B">
      <w:pPr>
        <w:spacing w:after="0" w:line="240" w:lineRule="auto"/>
        <w:rPr>
          <w:noProof/>
          <w:lang w:eastAsia="en-GB"/>
        </w:rPr>
      </w:pPr>
      <w:r>
        <w:rPr>
          <w:noProof/>
          <w:lang w:val="en-US"/>
        </w:rPr>
        <w:drawing>
          <wp:inline distT="0" distB="0" distL="0" distR="0">
            <wp:extent cx="5267960" cy="4214495"/>
            <wp:effectExtent l="19050" t="0" r="8890" b="0"/>
            <wp:docPr id="2" name="Bild 1" descr="C:\Users\pucher.METIS-VIENNA\Desktop\boxplots\Italia - Schweiz\cac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cher.METIS-VIENNA\Desktop\boxplots\Italia - Schweiz\caccc0.jpg"/>
                    <pic:cNvPicPr>
                      <a:picLocks noChangeAspect="1" noChangeArrowheads="1"/>
                    </pic:cNvPicPr>
                  </pic:nvPicPr>
                  <pic:blipFill>
                    <a:blip r:embed="rId20" cstate="print"/>
                    <a:srcRect/>
                    <a:stretch>
                      <a:fillRect/>
                    </a:stretch>
                  </pic:blipFill>
                  <pic:spPr bwMode="auto">
                    <a:xfrm>
                      <a:off x="0" y="0"/>
                      <a:ext cx="5267960" cy="4214495"/>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442FAE">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5A5FC4" w:rsidRDefault="00667CED" w:rsidP="00B135A2">
      <w:r>
        <w:rPr>
          <w:noProof/>
          <w:lang w:val="en-US"/>
        </w:rPr>
        <w:drawing>
          <wp:anchor distT="0" distB="0" distL="114300" distR="114300" simplePos="0" relativeHeight="251720192" behindDoc="1" locked="0" layoutInCell="1" allowOverlap="1">
            <wp:simplePos x="0" y="0"/>
            <wp:positionH relativeFrom="column">
              <wp:posOffset>8255</wp:posOffset>
            </wp:positionH>
            <wp:positionV relativeFrom="paragraph">
              <wp:posOffset>34925</wp:posOffset>
            </wp:positionV>
            <wp:extent cx="5273675" cy="2530475"/>
            <wp:effectExtent l="19050" t="0" r="3175" b="0"/>
            <wp:wrapTight wrapText="bothSides">
              <wp:wrapPolygon edited="0">
                <wp:start x="-78" y="0"/>
                <wp:lineTo x="-78" y="21464"/>
                <wp:lineTo x="21613" y="21464"/>
                <wp:lineTo x="21613" y="0"/>
                <wp:lineTo x="-78" y="0"/>
              </wp:wrapPolygon>
            </wp:wrapTight>
            <wp:docPr id="10" name="Bild 3" descr="P:\LU_2011_ESPON_TerrEvi_100269\03_Project development\WorkinProgress_FactSheets\Factsheets_CBC_neu\TL_CBC2\CBC Programme Italy_Switzerlan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2\CBC Programme Italy_Switzerland 3.png"/>
                    <pic:cNvPicPr>
                      <a:picLocks noChangeAspect="1" noChangeArrowheads="1"/>
                    </pic:cNvPicPr>
                  </pic:nvPicPr>
                  <pic:blipFill>
                    <a:blip r:embed="rId21"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p>
    <w:p w:rsidR="00E56193" w:rsidRDefault="00442FAE" w:rsidP="00B135A2">
      <w:r>
        <w:t xml:space="preserve">The level of long-term unemployment and the rate of persons at risk of poverty of the Italy-Switzerland CBC programme </w:t>
      </w:r>
      <w:r w:rsidR="00D669F5">
        <w:t xml:space="preserve">are </w:t>
      </w:r>
      <w:r>
        <w:t xml:space="preserve">slightly </w:t>
      </w:r>
      <w:r w:rsidR="00D669F5">
        <w:t>below</w:t>
      </w:r>
      <w:r>
        <w:t xml:space="preserve"> the EU-27+4 and other CBC regions’ level. Long-term unemployment rate is </w:t>
      </w:r>
      <w:r w:rsidR="00D669F5">
        <w:t xml:space="preserve">also </w:t>
      </w:r>
      <w:r>
        <w:t>lower than that of Italy, and higher than that of Switzerland. Whereas, the rate of persons at risk of poverty</w:t>
      </w:r>
      <w:r w:rsidR="005B1537">
        <w:t xml:space="preserve"> in the CBC region</w:t>
      </w:r>
      <w:r>
        <w:t xml:space="preserve"> is similar to that of Italy and is lower than that of Switzerland. The share of persons with upper secondary or tertiary education attainment between the age o</w:t>
      </w:r>
      <w:r w:rsidR="00D669F5">
        <w:t>f 25-64 and 20-24</w:t>
      </w:r>
      <w:r w:rsidR="00F86FB8">
        <w:t xml:space="preserve"> is lower than the same indicator in the EU-27+4, other CBC regions or in the Switzerland, and is at the same level </w:t>
      </w:r>
      <w:r w:rsidR="00D669F5">
        <w:t>as in</w:t>
      </w:r>
      <w:r w:rsidR="00F86FB8">
        <w:t xml:space="preserve"> Italy.</w:t>
      </w:r>
      <w:r w:rsidR="00F729A4">
        <w:t xml:space="preserve"> Italian NUTS3 border regions of the programme generally count for a higher employment rate than the EU-27+4 or the all CBC areas median value</w:t>
      </w:r>
      <w:r w:rsidR="00D25D5B">
        <w:t>s</w:t>
      </w:r>
      <w:r w:rsidR="00F3165C">
        <w:t xml:space="preserve"> (BOX-PLOT 2)</w:t>
      </w:r>
      <w:r w:rsidR="00F729A4">
        <w:t xml:space="preserve">. In this regard, the region of Bolzano-Bozen in Italy stands out among the other regions, having a considerably higher employment rate than the </w:t>
      </w:r>
      <w:r w:rsidR="00D669F5">
        <w:t>relevant median values</w:t>
      </w:r>
      <w:r w:rsidR="00F729A4">
        <w:t>.</w:t>
      </w:r>
    </w:p>
    <w:p w:rsidR="00667CED" w:rsidRDefault="00493D01" w:rsidP="00B135A2">
      <w:r>
        <w:t xml:space="preserve">The ESPON DEMIFER project has developed four scenarios to show how various policy bundles can lead to different trajectories of developments in population and labour force until 2050. As far as the Italian side of the Italy-Switzerland </w:t>
      </w:r>
      <w:r w:rsidR="00BE0815">
        <w:t xml:space="preserve">CBC programme is concerned, all scenarios foresee a positive change for </w:t>
      </w:r>
      <w:r w:rsidR="009A0294">
        <w:t>the region of Lombardy, whereas the picture is rather mixed concerning th</w:t>
      </w:r>
      <w:r w:rsidR="00D669F5">
        <w:t xml:space="preserve">e other Italian border regions. In these later cases, </w:t>
      </w:r>
      <w:r w:rsidR="009A0294">
        <w:t>predicted</w:t>
      </w:r>
      <w:r w:rsidR="00D669F5">
        <w:t xml:space="preserve"> changes in labour force range</w:t>
      </w:r>
      <w:r w:rsidR="009A0294">
        <w:t xml:space="preserve"> from </w:t>
      </w:r>
      <w:r w:rsidR="00AB56A4">
        <w:t>medium</w:t>
      </w:r>
      <w:r w:rsidR="009A0294">
        <w:t xml:space="preserve"> to </w:t>
      </w:r>
      <w:r w:rsidR="00AB56A4">
        <w:t>high</w:t>
      </w:r>
      <w:r w:rsidR="009A0294">
        <w:t xml:space="preserve">-level increase in the cases of </w:t>
      </w:r>
      <w:r w:rsidR="00D25D5B">
        <w:t>‘</w:t>
      </w:r>
      <w:r w:rsidR="009A0294">
        <w:t>Growing Social Europe</w:t>
      </w:r>
      <w:r w:rsidR="00D25D5B">
        <w:t>’</w:t>
      </w:r>
      <w:r w:rsidR="009A0294">
        <w:t xml:space="preserve"> and </w:t>
      </w:r>
      <w:r w:rsidR="00D25D5B">
        <w:t>‘</w:t>
      </w:r>
      <w:r w:rsidR="009A0294">
        <w:t>Expanding Market Europe</w:t>
      </w:r>
      <w:r w:rsidR="00D25D5B">
        <w:t>’</w:t>
      </w:r>
      <w:r w:rsidR="009A0294">
        <w:t xml:space="preserve"> scenarios; and from moderate to medium-level decrease in the cases of </w:t>
      </w:r>
      <w:r w:rsidR="00D25D5B">
        <w:t>‘</w:t>
      </w:r>
      <w:r w:rsidR="009A0294">
        <w:t>Limited Social Europe</w:t>
      </w:r>
      <w:r w:rsidR="00D25D5B">
        <w:t>’</w:t>
      </w:r>
      <w:r w:rsidR="009A0294">
        <w:t xml:space="preserve"> and </w:t>
      </w:r>
      <w:r w:rsidR="00D25D5B">
        <w:t>‘</w:t>
      </w:r>
      <w:r w:rsidR="009A0294">
        <w:t>Challenged Market Europe</w:t>
      </w:r>
      <w:r w:rsidR="00D25D5B">
        <w:t>’</w:t>
      </w:r>
      <w:r w:rsidR="009A0294">
        <w:t xml:space="preserve"> scenarios. On the Swiss side of the border three scenarios (the Limited Social Europe scenario is an exception)</w:t>
      </w:r>
      <w:r w:rsidR="00F729A4">
        <w:t xml:space="preserve"> foresees a moderate to high-level of increase in labour force for two of the reg</w:t>
      </w:r>
      <w:r w:rsidR="00ED2581">
        <w:t>ions, namely Valais and Ticin. Whereas, t</w:t>
      </w:r>
      <w:r w:rsidR="00F729A4">
        <w:t>hree out of four scenarios expect a decrease in the labour f</w:t>
      </w:r>
      <w:r w:rsidR="00546868">
        <w:t>orce in the third border region of</w:t>
      </w:r>
      <w:r w:rsidR="00F729A4">
        <w:t xml:space="preserve"> Grisons (only the </w:t>
      </w:r>
      <w:r w:rsidR="00D25D5B">
        <w:t>‘</w:t>
      </w:r>
      <w:r w:rsidR="00F729A4">
        <w:t>Expanding Market Europe</w:t>
      </w:r>
      <w:r w:rsidR="00D25D5B">
        <w:t>’</w:t>
      </w:r>
      <w:r w:rsidR="00F729A4">
        <w:t xml:space="preserve"> scenario predicts a moderate-level of increase</w:t>
      </w:r>
      <w:r w:rsidR="00546868">
        <w:t xml:space="preserve"> here</w:t>
      </w:r>
      <w:r w:rsidR="00F729A4">
        <w:t>).</w:t>
      </w:r>
    </w:p>
    <w:p w:rsidR="00667CED" w:rsidRDefault="00667CED">
      <w:pPr>
        <w:spacing w:after="0" w:line="240" w:lineRule="auto"/>
        <w:jc w:val="left"/>
      </w:pPr>
      <w: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882B24">
        <w:rPr>
          <w:b/>
        </w:rPr>
        <w:t>Italy – Switzerland</w:t>
      </w:r>
    </w:p>
    <w:p w:rsidR="0089569C" w:rsidRDefault="0089569C" w:rsidP="0089569C">
      <w:pPr>
        <w:spacing w:after="0" w:line="240" w:lineRule="auto"/>
        <w:rPr>
          <w:noProof/>
          <w:lang w:eastAsia="en-GB"/>
        </w:rPr>
      </w:pPr>
    </w:p>
    <w:p w:rsidR="0089569C" w:rsidRDefault="00F84B06" w:rsidP="0089569C">
      <w:pPr>
        <w:spacing w:after="0" w:line="240" w:lineRule="auto"/>
        <w:rPr>
          <w:noProof/>
          <w:lang w:eastAsia="en-GB"/>
        </w:rPr>
      </w:pPr>
      <w:r w:rsidRPr="00F84B06">
        <w:rPr>
          <w:noProof/>
          <w:lang w:val="de-DE" w:eastAsia="de-DE"/>
        </w:rPr>
        <w:pict>
          <v:oval id="_x0000_s1058" style="position:absolute;left:0;text-align:left;margin-left:284.3pt;margin-top:341pt;width:26.85pt;height:14.55pt;rotation:-822151fd;z-index:251715072" filled="f" strokecolor="#0070c0" strokeweight="2pt"/>
        </w:pict>
      </w:r>
      <w:r w:rsidRPr="00F84B06">
        <w:rPr>
          <w:noProof/>
          <w:lang w:val="de-DE" w:eastAsia="de-DE"/>
        </w:rPr>
        <w:pict>
          <v:oval id="_x0000_s1057" style="position:absolute;left:0;text-align:left;margin-left:85.15pt;margin-top:341pt;width:26.85pt;height:14.55pt;rotation:-822151fd;z-index:251714048" filled="f" strokecolor="#0070c0" strokeweight="2pt"/>
        </w:pict>
      </w:r>
      <w:r w:rsidRPr="00F84B06">
        <w:rPr>
          <w:noProof/>
          <w:lang w:val="de-DE" w:eastAsia="de-DE"/>
        </w:rPr>
        <w:pict>
          <v:oval id="_x0000_s1056" style="position:absolute;left:0;text-align:left;margin-left:284.3pt;margin-top:135.7pt;width:26.85pt;height:14.55pt;rotation:-822151fd;z-index:251713024" filled="f" strokecolor="#0070c0" strokeweight="2pt"/>
        </w:pict>
      </w:r>
      <w:r w:rsidRPr="00F84B06">
        <w:rPr>
          <w:noProof/>
          <w:lang w:val="de-DE" w:eastAsia="de-DE"/>
        </w:rPr>
        <w:pict>
          <v:oval id="_x0000_s1055" style="position:absolute;left:0;text-align:left;margin-left:85.15pt;margin-top:134pt;width:26.85pt;height:14.55pt;rotation:-822151fd;z-index:251712000" filled="f" strokecolor="#0070c0" strokeweight="2pt"/>
        </w:pict>
      </w:r>
      <w:r w:rsidR="007763B3">
        <w:rPr>
          <w:noProof/>
          <w:lang w:val="en-US"/>
        </w:rPr>
        <w:drawing>
          <wp:inline distT="0" distB="0" distL="0" distR="0">
            <wp:extent cx="5278755" cy="6911340"/>
            <wp:effectExtent l="19050" t="0" r="0" b="0"/>
            <wp:docPr id="13" name="Grafik 12"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D30230" w:rsidRDefault="00FD4E3A" w:rsidP="00D30230">
      <w:pPr>
        <w:rPr>
          <w:i/>
          <w:noProof/>
          <w:lang w:eastAsia="en-GB"/>
        </w:rPr>
      </w:pPr>
      <w:r w:rsidRPr="0031622E">
        <w:rPr>
          <w:b/>
        </w:rPr>
        <w:lastRenderedPageBreak/>
        <w:t>BOX</w:t>
      </w:r>
      <w:r w:rsidR="0054220D" w:rsidRPr="0031622E">
        <w:rPr>
          <w:b/>
        </w:rPr>
        <w:t>-</w:t>
      </w:r>
      <w:r w:rsidRPr="0031622E">
        <w:rPr>
          <w:b/>
        </w:rPr>
        <w:t>PLOT</w:t>
      </w:r>
      <w:r w:rsidR="00016B50" w:rsidRPr="0031622E">
        <w:rPr>
          <w:b/>
        </w:rPr>
        <w:t xml:space="preserve"> 2</w:t>
      </w:r>
      <w:r w:rsidRPr="0031622E">
        <w:rPr>
          <w:b/>
        </w:rPr>
        <w:t xml:space="preserve"> – Employment rate 2010</w:t>
      </w:r>
      <w:r w:rsidR="002371D8" w:rsidRPr="0031622E">
        <w:rPr>
          <w:b/>
        </w:rPr>
        <w:t xml:space="preserve"> within the CBC </w:t>
      </w:r>
      <w:r w:rsidR="00882B24" w:rsidRPr="0031622E">
        <w:rPr>
          <w:b/>
        </w:rPr>
        <w:t>Italy – Switzerland</w:t>
      </w:r>
    </w:p>
    <w:p w:rsidR="00D30230" w:rsidRDefault="0031622E" w:rsidP="00D30230">
      <w:pPr>
        <w:rPr>
          <w:i/>
          <w:noProof/>
          <w:lang w:eastAsia="en-GB"/>
        </w:rPr>
      </w:pPr>
      <w:r>
        <w:rPr>
          <w:i/>
          <w:noProof/>
          <w:lang w:val="en-US"/>
        </w:rPr>
        <w:drawing>
          <wp:anchor distT="0" distB="0" distL="114300" distR="114300" simplePos="0" relativeHeight="251707904" behindDoc="1" locked="0" layoutInCell="1" allowOverlap="1">
            <wp:simplePos x="0" y="0"/>
            <wp:positionH relativeFrom="column">
              <wp:posOffset>-8255</wp:posOffset>
            </wp:positionH>
            <wp:positionV relativeFrom="paragraph">
              <wp:posOffset>40005</wp:posOffset>
            </wp:positionV>
            <wp:extent cx="5267960" cy="4213860"/>
            <wp:effectExtent l="19050" t="0" r="8890" b="0"/>
            <wp:wrapTight wrapText="bothSides">
              <wp:wrapPolygon edited="0">
                <wp:start x="-78" y="0"/>
                <wp:lineTo x="-78" y="21483"/>
                <wp:lineTo x="21636" y="21483"/>
                <wp:lineTo x="21636" y="0"/>
                <wp:lineTo x="-78" y="0"/>
              </wp:wrapPolygon>
            </wp:wrapTight>
            <wp:docPr id="7" name="Bild 3" descr="C:\Users\pucher.METIS-VIENNA\Desktop\boxplots\Italia - Schweiz\employmen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cher.METIS-VIENNA\Desktop\boxplots\Italia - Schweiz\employment0.jpg"/>
                    <pic:cNvPicPr>
                      <a:picLocks noChangeAspect="1" noChangeArrowheads="1"/>
                    </pic:cNvPicPr>
                  </pic:nvPicPr>
                  <pic:blipFill>
                    <a:blip r:embed="rId23" cstate="print"/>
                    <a:srcRect/>
                    <a:stretch>
                      <a:fillRect/>
                    </a:stretch>
                  </pic:blipFill>
                  <pic:spPr bwMode="auto">
                    <a:xfrm>
                      <a:off x="0" y="0"/>
                      <a:ext cx="5267960" cy="4213860"/>
                    </a:xfrm>
                    <a:prstGeom prst="rect">
                      <a:avLst/>
                    </a:prstGeom>
                    <a:noFill/>
                    <a:ln w="9525">
                      <a:noFill/>
                      <a:miter lim="800000"/>
                      <a:headEnd/>
                      <a:tailEnd/>
                    </a:ln>
                  </pic:spPr>
                </pic:pic>
              </a:graphicData>
            </a:graphic>
          </wp:anchor>
        </w:drawing>
      </w:r>
    </w:p>
    <w:p w:rsidR="00383954" w:rsidRPr="00383954" w:rsidRDefault="00383954" w:rsidP="00D30230">
      <w:pPr>
        <w:rPr>
          <w:i/>
          <w:noProof/>
          <w:lang w:eastAsia="en-GB"/>
        </w:rPr>
      </w:pPr>
      <w:r w:rsidRPr="00383954">
        <w:rPr>
          <w:i/>
          <w:noProof/>
          <w:lang w:eastAsia="en-GB"/>
        </w:rPr>
        <w:t xml:space="preserve">(see “How to read </w:t>
      </w:r>
      <w:r w:rsidR="00C45500">
        <w:rPr>
          <w:i/>
          <w:noProof/>
          <w:lang w:eastAsia="en-GB"/>
        </w:rPr>
        <w:t>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572F6C" w:rsidRDefault="005761A6" w:rsidP="005761A6">
      <w:pPr>
        <w:pStyle w:val="Heading1"/>
      </w:pPr>
      <w:r w:rsidRPr="00572F6C">
        <w:lastRenderedPageBreak/>
        <w:t xml:space="preserve">Territorial factors of interest for the programme area </w:t>
      </w:r>
    </w:p>
    <w:p w:rsidR="00572F6C" w:rsidRDefault="00572F6C" w:rsidP="00572F6C">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572F6C" w:rsidRDefault="00572F6C" w:rsidP="00572F6C">
      <w:r>
        <w:t>In a European perspective the programme area comprises mainly remote regions some of them are rural and some are of intermediate character (in-between urban and rural). However, the urban agglomeration of Milan extends also into the programme area which adds some urban areas to the otherwise remote characteristics. Whereas there are otherwise no major urban centres in the programme area, the area benefits from close proximity to other urban centres Milan as an important Metropolitan European Growth Area and important hub for transport, business and services.</w:t>
      </w:r>
    </w:p>
    <w:p w:rsidR="00572F6C" w:rsidRDefault="00572F6C" w:rsidP="00572F6C">
      <w:r>
        <w:t xml:space="preserve">Whereas most parts of the programme area have below European average accessibility, Milan and its direct surrounding have good accessibility figures and there are many opportunities for one-day business trips within the European urban network. The use of internet and access to the Information Society in the programme area is mainly described as moderate in a European perspective and in some areas as low. However, some single parts of the programme have high internet use in a European perspective. </w:t>
      </w:r>
    </w:p>
    <w:p w:rsidR="00572F6C" w:rsidRDefault="00AD565A" w:rsidP="00572F6C">
      <w:r>
        <w:t xml:space="preserve">The territorial characteristics of the programme area comprise a wide range of development opportunities and challenges. </w:t>
      </w:r>
      <w:r w:rsidR="00572F6C">
        <w:t xml:space="preserve">One of these concerns the low urban potential for strengthening cross-border functional areas. In European perspective the area is widely characterised as mountainous. </w:t>
      </w:r>
      <w:r w:rsidR="00572F6C"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572F6C" w:rsidRDefault="00572F6C" w:rsidP="00572F6C">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102:</w:t>
      </w:r>
      <w:r>
        <w:rPr>
          <w:rFonts w:cs="Calibri"/>
          <w:sz w:val="18"/>
          <w:szCs w:val="20"/>
          <w:lang w:eastAsia="fr-FR"/>
        </w:rPr>
        <w:br/>
        <w:t>Nexus model for mountain areas</w:t>
      </w:r>
    </w:p>
    <w:p w:rsidR="00572F6C" w:rsidRDefault="00572F6C" w:rsidP="00572F6C">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572F6C" w:rsidRDefault="00572F6C" w:rsidP="00572F6C">
      <w:pPr>
        <w:shd w:val="clear" w:color="auto" w:fill="F2F2F2" w:themeFill="background1" w:themeFillShade="F2"/>
      </w:pPr>
      <w:r>
        <w:rPr>
          <w:rFonts w:cs="Calibri"/>
          <w:sz w:val="18"/>
          <w:szCs w:val="20"/>
          <w:lang w:eastAsia="fr-FR"/>
        </w:rPr>
        <w:t xml:space="preserve"> </w:t>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882B24">
        <w:rPr>
          <w:b/>
        </w:rPr>
        <w:t>Italy – Switzerland</w:t>
      </w:r>
    </w:p>
    <w:p w:rsidR="0089569C" w:rsidRDefault="0089569C" w:rsidP="0089569C">
      <w:pPr>
        <w:spacing w:after="0" w:line="240" w:lineRule="auto"/>
        <w:jc w:val="left"/>
        <w:rPr>
          <w:noProof/>
          <w:lang w:eastAsia="en-GB"/>
        </w:rPr>
      </w:pPr>
    </w:p>
    <w:p w:rsidR="0089569C" w:rsidRDefault="00F84B06" w:rsidP="0089569C">
      <w:pPr>
        <w:spacing w:after="0" w:line="240" w:lineRule="auto"/>
        <w:jc w:val="left"/>
        <w:rPr>
          <w:noProof/>
          <w:lang w:eastAsia="en-GB"/>
        </w:rPr>
      </w:pPr>
      <w:r w:rsidRPr="00F84B06">
        <w:rPr>
          <w:noProof/>
          <w:lang w:val="de-DE" w:eastAsia="de-DE"/>
        </w:rPr>
        <w:pict>
          <v:oval id="_x0000_s1059" style="position:absolute;margin-left:158.25pt;margin-top:267.35pt;width:40.05pt;height:21.7pt;rotation:-822151fd;z-index:251716096" filled="f" strokecolor="#0070c0" strokeweight="2pt"/>
        </w:pict>
      </w:r>
      <w:r w:rsidR="0006621E">
        <w:rPr>
          <w:noProof/>
          <w:lang w:val="en-US"/>
        </w:rPr>
        <w:drawing>
          <wp:inline distT="0" distB="0" distL="0" distR="0">
            <wp:extent cx="5278755" cy="7214065"/>
            <wp:effectExtent l="19050" t="0" r="0" b="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BF0F9F" w:rsidRPr="0085195F" w:rsidRDefault="00BF0F9F" w:rsidP="00BF0F9F">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882B24">
        <w:rPr>
          <w:b/>
        </w:rPr>
        <w:t>Italy – Switzerland</w:t>
      </w:r>
    </w:p>
    <w:p w:rsidR="00AA496F" w:rsidRPr="00021CAB" w:rsidRDefault="00AA496F" w:rsidP="00AA496F">
      <w:pPr>
        <w:spacing w:after="240"/>
        <w:rPr>
          <w:i/>
        </w:rPr>
      </w:pPr>
      <w:r w:rsidRPr="00021CAB">
        <w:rPr>
          <w:i/>
        </w:rPr>
        <w:t>“Potential Accessibility Multimodal” scores accessibility of NUTS 3 regions by road, rail and air relative to the European average in an Accessibility Index.</w:t>
      </w:r>
    </w:p>
    <w:p w:rsidR="0089569C" w:rsidRDefault="00F84B06" w:rsidP="0089569C">
      <w:pPr>
        <w:spacing w:after="0" w:line="240" w:lineRule="auto"/>
        <w:jc w:val="left"/>
        <w:rPr>
          <w:noProof/>
          <w:lang w:eastAsia="en-GB"/>
        </w:rPr>
      </w:pPr>
      <w:r w:rsidRPr="00F84B06">
        <w:rPr>
          <w:i/>
          <w:noProof/>
          <w:lang w:val="de-DE" w:eastAsia="de-DE"/>
        </w:rPr>
        <w:pict>
          <v:oval id="_x0000_s1060" style="position:absolute;margin-left:152.45pt;margin-top:256.8pt;width:53.25pt;height:28.85pt;rotation:-822151fd;z-index:251717120" filled="f" strokecolor="#0070c0" strokeweight="2pt"/>
        </w:pict>
      </w:r>
      <w:r w:rsidR="007763B3">
        <w:rPr>
          <w:noProof/>
          <w:lang w:val="en-US"/>
        </w:rPr>
        <w:drawing>
          <wp:inline distT="0" distB="0" distL="0" distR="0">
            <wp:extent cx="5278755" cy="7444105"/>
            <wp:effectExtent l="19050" t="0" r="0" b="0"/>
            <wp:docPr id="15" name="Grafik 1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572F6C" w:rsidRDefault="005A5FC4" w:rsidP="0019394E">
      <w:pPr>
        <w:pStyle w:val="Heading1"/>
      </w:pPr>
      <w:r w:rsidRPr="00572F6C">
        <w:lastRenderedPageBreak/>
        <w:t>Recommended ESPON reading</w:t>
      </w:r>
    </w:p>
    <w:p w:rsidR="00572F6C" w:rsidRDefault="00572F6C" w:rsidP="00572F6C">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572F6C" w:rsidRDefault="00572F6C" w:rsidP="00572F6C">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572F6C" w:rsidRPr="00A0472D" w:rsidTr="00DF0393">
        <w:trPr>
          <w:trHeight w:val="203"/>
        </w:trPr>
        <w:tc>
          <w:tcPr>
            <w:tcW w:w="1276" w:type="dxa"/>
            <w:shd w:val="clear" w:color="auto" w:fill="auto"/>
          </w:tcPr>
          <w:p w:rsidR="00572F6C" w:rsidRPr="00A0472D" w:rsidRDefault="00572F6C" w:rsidP="00DF0393">
            <w:pPr>
              <w:spacing w:after="0" w:line="20" w:lineRule="atLeast"/>
              <w:rPr>
                <w:b/>
                <w:sz w:val="18"/>
                <w:szCs w:val="18"/>
              </w:rPr>
            </w:pPr>
            <w:r w:rsidRPr="00A0472D">
              <w:rPr>
                <w:b/>
                <w:sz w:val="18"/>
                <w:szCs w:val="18"/>
              </w:rPr>
              <w:t>ESPON study</w:t>
            </w:r>
          </w:p>
        </w:tc>
        <w:tc>
          <w:tcPr>
            <w:tcW w:w="1418" w:type="dxa"/>
            <w:shd w:val="clear" w:color="auto" w:fill="auto"/>
          </w:tcPr>
          <w:p w:rsidR="00572F6C" w:rsidRPr="00A0472D" w:rsidRDefault="00572F6C" w:rsidP="00DF0393">
            <w:pPr>
              <w:spacing w:after="0" w:line="20" w:lineRule="atLeast"/>
              <w:rPr>
                <w:b/>
                <w:sz w:val="18"/>
                <w:szCs w:val="18"/>
              </w:rPr>
            </w:pPr>
            <w:r w:rsidRPr="00A0472D">
              <w:rPr>
                <w:b/>
                <w:sz w:val="18"/>
                <w:szCs w:val="18"/>
              </w:rPr>
              <w:t>Topic</w:t>
            </w:r>
          </w:p>
        </w:tc>
        <w:tc>
          <w:tcPr>
            <w:tcW w:w="5670" w:type="dxa"/>
            <w:shd w:val="clear" w:color="auto" w:fill="auto"/>
          </w:tcPr>
          <w:p w:rsidR="00572F6C" w:rsidRPr="00A0472D" w:rsidRDefault="00572F6C" w:rsidP="00DF0393">
            <w:pPr>
              <w:spacing w:after="0" w:line="20" w:lineRule="atLeast"/>
              <w:rPr>
                <w:b/>
                <w:sz w:val="18"/>
                <w:szCs w:val="18"/>
              </w:rPr>
            </w:pPr>
            <w:r w:rsidRPr="00A0472D">
              <w:rPr>
                <w:b/>
                <w:sz w:val="18"/>
                <w:szCs w:val="18"/>
              </w:rPr>
              <w:t>Content</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572F6C" w:rsidRPr="00A0472D" w:rsidRDefault="00572F6C" w:rsidP="00DF039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572F6C" w:rsidRPr="00A0472D" w:rsidRDefault="00572F6C" w:rsidP="00DF039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572F6C" w:rsidRPr="00A0472D" w:rsidRDefault="00572F6C" w:rsidP="00DF039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572F6C" w:rsidRPr="00A0472D" w:rsidRDefault="00572F6C" w:rsidP="00DF039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572F6C" w:rsidRPr="00A0472D" w:rsidRDefault="00572F6C" w:rsidP="00DF039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572F6C" w:rsidRPr="00A0472D" w:rsidTr="00DF0393">
        <w:trPr>
          <w:trHeight w:val="274"/>
        </w:trPr>
        <w:tc>
          <w:tcPr>
            <w:tcW w:w="1276" w:type="dxa"/>
            <w:tcBorders>
              <w:bottom w:val="single" w:sz="4" w:space="0" w:color="auto"/>
            </w:tcBorders>
            <w:shd w:val="clear" w:color="auto" w:fill="FFFFFF" w:themeFill="background1"/>
          </w:tcPr>
          <w:p w:rsidR="00572F6C" w:rsidRPr="00A0472D" w:rsidRDefault="00572F6C" w:rsidP="00DF039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572F6C" w:rsidRPr="00A0472D" w:rsidRDefault="00572F6C" w:rsidP="00DF039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572F6C" w:rsidRPr="00A0472D" w:rsidRDefault="00572F6C" w:rsidP="00DF039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572F6C" w:rsidRPr="00A0472D" w:rsidTr="00DF0393">
        <w:trPr>
          <w:trHeight w:val="274"/>
        </w:trPr>
        <w:tc>
          <w:tcPr>
            <w:tcW w:w="1276" w:type="dxa"/>
            <w:shd w:val="clear" w:color="auto" w:fill="FFFFFF" w:themeFill="background1"/>
          </w:tcPr>
          <w:p w:rsidR="00572F6C" w:rsidRPr="008152C4" w:rsidRDefault="00572F6C" w:rsidP="00DF0393">
            <w:pPr>
              <w:spacing w:after="0" w:line="20" w:lineRule="atLeast"/>
              <w:rPr>
                <w:sz w:val="18"/>
                <w:szCs w:val="18"/>
              </w:rPr>
            </w:pPr>
            <w:r>
              <w:rPr>
                <w:sz w:val="18"/>
                <w:szCs w:val="18"/>
              </w:rPr>
              <w:t>KIT</w:t>
            </w:r>
          </w:p>
        </w:tc>
        <w:tc>
          <w:tcPr>
            <w:tcW w:w="1418" w:type="dxa"/>
            <w:shd w:val="clear" w:color="auto" w:fill="FFFFFF" w:themeFill="background1"/>
          </w:tcPr>
          <w:p w:rsidR="00572F6C" w:rsidRPr="008152C4" w:rsidRDefault="00572F6C" w:rsidP="00DF0393">
            <w:pPr>
              <w:spacing w:after="0" w:line="20" w:lineRule="atLeast"/>
              <w:rPr>
                <w:sz w:val="18"/>
                <w:szCs w:val="18"/>
              </w:rPr>
            </w:pPr>
            <w:r w:rsidRPr="008152C4">
              <w:rPr>
                <w:sz w:val="18"/>
                <w:szCs w:val="18"/>
              </w:rPr>
              <w:t>Innovation</w:t>
            </w:r>
          </w:p>
        </w:tc>
        <w:tc>
          <w:tcPr>
            <w:tcW w:w="5670" w:type="dxa"/>
            <w:shd w:val="clear" w:color="auto" w:fill="FFFFFF" w:themeFill="background1"/>
          </w:tcPr>
          <w:p w:rsidR="00572F6C" w:rsidRPr="008152C4" w:rsidRDefault="00572F6C" w:rsidP="00DF039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572F6C" w:rsidRPr="00A0472D" w:rsidTr="00DF0393">
        <w:trPr>
          <w:trHeight w:val="274"/>
        </w:trPr>
        <w:tc>
          <w:tcPr>
            <w:tcW w:w="1276" w:type="dxa"/>
            <w:shd w:val="clear" w:color="auto" w:fill="FFFFFF" w:themeFill="background1"/>
          </w:tcPr>
          <w:p w:rsidR="00572F6C" w:rsidRPr="00A0472D" w:rsidRDefault="00572F6C" w:rsidP="00DF0393">
            <w:pPr>
              <w:spacing w:after="0" w:line="20" w:lineRule="atLeast"/>
              <w:rPr>
                <w:sz w:val="18"/>
                <w:szCs w:val="18"/>
              </w:rPr>
            </w:pPr>
            <w:r w:rsidRPr="008152C4">
              <w:rPr>
                <w:sz w:val="18"/>
                <w:szCs w:val="18"/>
              </w:rPr>
              <w:t>SGPTD</w:t>
            </w:r>
          </w:p>
        </w:tc>
        <w:tc>
          <w:tcPr>
            <w:tcW w:w="1418" w:type="dxa"/>
            <w:shd w:val="clear" w:color="auto" w:fill="FFFFFF" w:themeFill="background1"/>
          </w:tcPr>
          <w:p w:rsidR="00572F6C" w:rsidRPr="00A0472D" w:rsidRDefault="00572F6C" w:rsidP="00DF0393">
            <w:pPr>
              <w:spacing w:after="0" w:line="20" w:lineRule="atLeast"/>
              <w:rPr>
                <w:sz w:val="18"/>
                <w:szCs w:val="18"/>
              </w:rPr>
            </w:pPr>
            <w:r w:rsidRPr="008152C4">
              <w:rPr>
                <w:sz w:val="18"/>
                <w:szCs w:val="18"/>
              </w:rPr>
              <w:t>Growth poles</w:t>
            </w:r>
          </w:p>
        </w:tc>
        <w:tc>
          <w:tcPr>
            <w:tcW w:w="5670" w:type="dxa"/>
            <w:shd w:val="clear" w:color="auto" w:fill="FFFFFF" w:themeFill="background1"/>
          </w:tcPr>
          <w:p w:rsidR="00572F6C" w:rsidRPr="00A0472D" w:rsidRDefault="00572F6C" w:rsidP="00DF039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572F6C" w:rsidRPr="000C656B" w:rsidTr="00DF0393">
        <w:trPr>
          <w:trHeight w:val="274"/>
        </w:trPr>
        <w:tc>
          <w:tcPr>
            <w:tcW w:w="1276" w:type="dxa"/>
            <w:shd w:val="clear" w:color="auto" w:fill="FFFFFF" w:themeFill="background1"/>
          </w:tcPr>
          <w:p w:rsidR="00572F6C" w:rsidRPr="007E2555" w:rsidRDefault="00572F6C" w:rsidP="00DF0393">
            <w:pPr>
              <w:spacing w:after="0" w:line="20" w:lineRule="atLeast"/>
              <w:rPr>
                <w:sz w:val="18"/>
                <w:szCs w:val="18"/>
              </w:rPr>
            </w:pPr>
            <w:r w:rsidRPr="000C656B">
              <w:rPr>
                <w:sz w:val="18"/>
                <w:szCs w:val="18"/>
              </w:rPr>
              <w:t>TeDi</w:t>
            </w:r>
          </w:p>
        </w:tc>
        <w:tc>
          <w:tcPr>
            <w:tcW w:w="1418" w:type="dxa"/>
            <w:shd w:val="clear" w:color="auto" w:fill="FFFFFF" w:themeFill="background1"/>
          </w:tcPr>
          <w:p w:rsidR="00572F6C" w:rsidRPr="007E2555" w:rsidRDefault="00572F6C" w:rsidP="00DF0393">
            <w:pPr>
              <w:spacing w:after="0" w:line="20" w:lineRule="atLeast"/>
              <w:rPr>
                <w:sz w:val="18"/>
                <w:szCs w:val="18"/>
              </w:rPr>
            </w:pPr>
            <w:r>
              <w:rPr>
                <w:sz w:val="18"/>
                <w:szCs w:val="18"/>
              </w:rPr>
              <w:t>Territorial diversity</w:t>
            </w:r>
          </w:p>
        </w:tc>
        <w:tc>
          <w:tcPr>
            <w:tcW w:w="5670" w:type="dxa"/>
            <w:shd w:val="clear" w:color="auto" w:fill="FFFFFF" w:themeFill="background1"/>
          </w:tcPr>
          <w:p w:rsidR="00572F6C" w:rsidRPr="000C656B" w:rsidRDefault="00572F6C" w:rsidP="00DF0393">
            <w:pPr>
              <w:spacing w:after="0" w:line="20" w:lineRule="atLeast"/>
              <w:rPr>
                <w:sz w:val="18"/>
                <w:szCs w:val="18"/>
              </w:rPr>
            </w:pPr>
            <w:r w:rsidRPr="000C656B">
              <w:rPr>
                <w:sz w:val="18"/>
                <w:szCs w:val="18"/>
              </w:rPr>
              <w:t>It concerns the topic of territorial diversity in territories defined as insular, mountainous, sparsely populated or peripheral (see the</w:t>
            </w:r>
            <w:r>
              <w:rPr>
                <w:sz w:val="18"/>
                <w:szCs w:val="18"/>
              </w:rPr>
              <w:t xml:space="preserve"> Swiss</w:t>
            </w:r>
            <w:r w:rsidRPr="000C656B">
              <w:rPr>
                <w:sz w:val="18"/>
                <w:szCs w:val="18"/>
              </w:rPr>
              <w:t xml:space="preserve"> case of Valais).</w:t>
            </w:r>
          </w:p>
        </w:tc>
      </w:tr>
    </w:tbl>
    <w:p w:rsidR="00572F6C" w:rsidRDefault="00572F6C" w:rsidP="00572F6C">
      <w:pPr>
        <w:spacing w:before="240"/>
      </w:pPr>
      <w:r>
        <w:t>Furthermore, some of overall ESPON products of particular interest for territorial cooperation are:</w:t>
      </w:r>
    </w:p>
    <w:p w:rsidR="00572F6C" w:rsidRDefault="00572F6C" w:rsidP="00572F6C">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572F6C" w:rsidRDefault="00572F6C" w:rsidP="00572F6C">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572F6C" w:rsidRPr="00A33083" w:rsidRDefault="00572F6C" w:rsidP="00572F6C">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572F6C" w:rsidRDefault="00572F6C" w:rsidP="00572F6C">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572F6C" w:rsidRPr="00CD642B" w:rsidRDefault="00572F6C" w:rsidP="00572F6C">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572F6C" w:rsidRDefault="00572F6C" w:rsidP="00572F6C">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572F6C" w:rsidRPr="003E2CCE" w:rsidRDefault="00572F6C" w:rsidP="00572F6C">
      <w:pPr>
        <w:jc w:val="center"/>
      </w:pPr>
      <w:r w:rsidRPr="00CD642B">
        <w:t>All ESPON reports and tools are freely available at</w:t>
      </w:r>
      <w:r>
        <w:br/>
      </w:r>
      <w:r w:rsidRPr="00CD642B">
        <w:rPr>
          <w:b/>
        </w:rPr>
        <w:t>www.espon.eu</w:t>
      </w:r>
    </w:p>
    <w:p w:rsid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F84B06" w:rsidRPr="00F84B06">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83282E" w:rsidRDefault="0083282E" w:rsidP="00BC65E1">
                  <w:pPr>
                    <w:rPr>
                      <w:rFonts w:ascii="Arial" w:hAnsi="Arial" w:cs="Arial"/>
                      <w:szCs w:val="20"/>
                    </w:rPr>
                  </w:pPr>
                </w:p>
              </w:txbxContent>
            </v:textbox>
          </v:shape>
        </w:pict>
      </w:r>
      <w:r w:rsidR="00F84B06" w:rsidRPr="00F84B06">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3282E" w:rsidRPr="00FB783A" w:rsidRDefault="0083282E"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983" w:rsidRDefault="00F20983">
      <w:r>
        <w:separator/>
      </w:r>
    </w:p>
  </w:endnote>
  <w:endnote w:type="continuationSeparator" w:id="0">
    <w:p w:rsidR="00F20983" w:rsidRDefault="00F209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E" w:rsidRDefault="00F84B06" w:rsidP="00BC65E1">
    <w:pPr>
      <w:framePr w:wrap="around" w:vAnchor="text" w:hAnchor="margin" w:xAlign="right" w:y="1"/>
      <w:rPr>
        <w:rStyle w:val="PageNumber"/>
      </w:rPr>
    </w:pPr>
    <w:r>
      <w:rPr>
        <w:rStyle w:val="PageNumber"/>
      </w:rPr>
      <w:fldChar w:fldCharType="begin"/>
    </w:r>
    <w:r w:rsidR="0083282E">
      <w:rPr>
        <w:rStyle w:val="PageNumber"/>
      </w:rPr>
      <w:instrText xml:space="preserve">PAGE  </w:instrText>
    </w:r>
    <w:r>
      <w:rPr>
        <w:rStyle w:val="PageNumber"/>
      </w:rPr>
      <w:fldChar w:fldCharType="separate"/>
    </w:r>
    <w:r w:rsidR="0083282E">
      <w:rPr>
        <w:rStyle w:val="PageNumber"/>
        <w:noProof/>
      </w:rPr>
      <w:t>3</w:t>
    </w:r>
    <w:r>
      <w:rPr>
        <w:rStyle w:val="PageNumber"/>
      </w:rPr>
      <w:fldChar w:fldCharType="end"/>
    </w:r>
  </w:p>
  <w:p w:rsidR="0083282E" w:rsidRDefault="0083282E">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E" w:rsidRPr="00A15B61" w:rsidRDefault="00F84B06" w:rsidP="00BC65E1">
    <w:pPr>
      <w:pStyle w:val="Footer"/>
      <w:framePr w:wrap="around" w:vAnchor="text" w:hAnchor="margin" w:xAlign="right" w:y="1"/>
      <w:rPr>
        <w:rStyle w:val="PageNumber"/>
      </w:rPr>
    </w:pPr>
    <w:r w:rsidRPr="00A15B61">
      <w:rPr>
        <w:rStyle w:val="PageNumber"/>
        <w:szCs w:val="20"/>
      </w:rPr>
      <w:fldChar w:fldCharType="begin"/>
    </w:r>
    <w:r w:rsidR="0083282E">
      <w:rPr>
        <w:rStyle w:val="PageNumber"/>
        <w:szCs w:val="20"/>
      </w:rPr>
      <w:instrText>PAGE</w:instrText>
    </w:r>
    <w:r w:rsidR="0083282E" w:rsidRPr="00A15B61">
      <w:rPr>
        <w:rStyle w:val="PageNumber"/>
        <w:szCs w:val="20"/>
      </w:rPr>
      <w:instrText xml:space="preserve">  </w:instrText>
    </w:r>
    <w:r w:rsidRPr="00A15B61">
      <w:rPr>
        <w:rStyle w:val="PageNumber"/>
        <w:szCs w:val="20"/>
      </w:rPr>
      <w:fldChar w:fldCharType="separate"/>
    </w:r>
    <w:r w:rsidR="00BF0F9F">
      <w:rPr>
        <w:rStyle w:val="PageNumber"/>
        <w:noProof/>
        <w:szCs w:val="20"/>
      </w:rPr>
      <w:t>1</w:t>
    </w:r>
    <w:r w:rsidRPr="00A15B61">
      <w:rPr>
        <w:rStyle w:val="PageNumber"/>
        <w:szCs w:val="20"/>
      </w:rPr>
      <w:fldChar w:fldCharType="end"/>
    </w:r>
  </w:p>
  <w:p w:rsidR="0083282E" w:rsidRPr="00A15B61" w:rsidRDefault="0083282E"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E" w:rsidRPr="00A15B61" w:rsidRDefault="00F84B06" w:rsidP="00BC65E1">
    <w:pPr>
      <w:pStyle w:val="Footer"/>
      <w:framePr w:wrap="around" w:vAnchor="text" w:hAnchor="margin" w:xAlign="right" w:y="1"/>
      <w:rPr>
        <w:rStyle w:val="PageNumber"/>
      </w:rPr>
    </w:pPr>
    <w:r w:rsidRPr="00A15B61">
      <w:rPr>
        <w:rStyle w:val="PageNumber"/>
        <w:szCs w:val="20"/>
      </w:rPr>
      <w:fldChar w:fldCharType="begin"/>
    </w:r>
    <w:r w:rsidR="0083282E">
      <w:rPr>
        <w:rStyle w:val="PageNumber"/>
        <w:szCs w:val="20"/>
      </w:rPr>
      <w:instrText>PAGE</w:instrText>
    </w:r>
    <w:r w:rsidR="0083282E" w:rsidRPr="00A15B61">
      <w:rPr>
        <w:rStyle w:val="PageNumber"/>
        <w:szCs w:val="20"/>
      </w:rPr>
      <w:instrText xml:space="preserve">  </w:instrText>
    </w:r>
    <w:r w:rsidRPr="00A15B61">
      <w:rPr>
        <w:rStyle w:val="PageNumber"/>
        <w:szCs w:val="20"/>
      </w:rPr>
      <w:fldChar w:fldCharType="separate"/>
    </w:r>
    <w:r w:rsidR="00BF0F9F">
      <w:rPr>
        <w:rStyle w:val="PageNumber"/>
        <w:noProof/>
        <w:szCs w:val="20"/>
      </w:rPr>
      <w:t>16</w:t>
    </w:r>
    <w:r w:rsidRPr="00A15B61">
      <w:rPr>
        <w:rStyle w:val="PageNumber"/>
        <w:szCs w:val="20"/>
      </w:rPr>
      <w:fldChar w:fldCharType="end"/>
    </w:r>
  </w:p>
  <w:p w:rsidR="0083282E" w:rsidRPr="00A15B61" w:rsidRDefault="0083282E"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983" w:rsidRDefault="00F20983">
      <w:r>
        <w:separator/>
      </w:r>
    </w:p>
  </w:footnote>
  <w:footnote w:type="continuationSeparator" w:id="0">
    <w:p w:rsidR="00F20983" w:rsidRDefault="00F209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E" w:rsidRDefault="00F84B06">
    <w:pPr>
      <w:pStyle w:val="Header"/>
    </w:pPr>
    <w:r w:rsidRPr="00F84B06">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3282E" w:rsidRDefault="0083282E"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3282E" w:rsidRPr="00721B03" w:rsidRDefault="0083282E"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3282E">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82E" w:rsidRDefault="008328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6C34"/>
    <w:rsid w:val="000372A5"/>
    <w:rsid w:val="00037716"/>
    <w:rsid w:val="00041991"/>
    <w:rsid w:val="00041A22"/>
    <w:rsid w:val="0004221D"/>
    <w:rsid w:val="000428C4"/>
    <w:rsid w:val="00042DF4"/>
    <w:rsid w:val="00043F45"/>
    <w:rsid w:val="00050AB6"/>
    <w:rsid w:val="000527DC"/>
    <w:rsid w:val="00055A97"/>
    <w:rsid w:val="000576BC"/>
    <w:rsid w:val="00061CE3"/>
    <w:rsid w:val="00063161"/>
    <w:rsid w:val="00064853"/>
    <w:rsid w:val="0006621E"/>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FC2"/>
    <w:rsid w:val="00127104"/>
    <w:rsid w:val="00130AE4"/>
    <w:rsid w:val="00132B3D"/>
    <w:rsid w:val="00132FDD"/>
    <w:rsid w:val="00133602"/>
    <w:rsid w:val="00134DC7"/>
    <w:rsid w:val="0013600B"/>
    <w:rsid w:val="00147567"/>
    <w:rsid w:val="001507D7"/>
    <w:rsid w:val="00150A5A"/>
    <w:rsid w:val="00150FCB"/>
    <w:rsid w:val="00151954"/>
    <w:rsid w:val="00152974"/>
    <w:rsid w:val="00153108"/>
    <w:rsid w:val="00153EE2"/>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27DA"/>
    <w:rsid w:val="001B300C"/>
    <w:rsid w:val="001B3C95"/>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4738"/>
    <w:rsid w:val="001F5D67"/>
    <w:rsid w:val="002004FA"/>
    <w:rsid w:val="00200704"/>
    <w:rsid w:val="00207B3F"/>
    <w:rsid w:val="0021343D"/>
    <w:rsid w:val="00213A52"/>
    <w:rsid w:val="002146DB"/>
    <w:rsid w:val="00217321"/>
    <w:rsid w:val="0022077E"/>
    <w:rsid w:val="00220A8C"/>
    <w:rsid w:val="002214A4"/>
    <w:rsid w:val="00221A45"/>
    <w:rsid w:val="00223DE3"/>
    <w:rsid w:val="002250F3"/>
    <w:rsid w:val="00227652"/>
    <w:rsid w:val="00235DC8"/>
    <w:rsid w:val="002371D8"/>
    <w:rsid w:val="00250094"/>
    <w:rsid w:val="00253237"/>
    <w:rsid w:val="0025373C"/>
    <w:rsid w:val="002605E0"/>
    <w:rsid w:val="0026077F"/>
    <w:rsid w:val="00264534"/>
    <w:rsid w:val="00265996"/>
    <w:rsid w:val="00276DA6"/>
    <w:rsid w:val="00281A82"/>
    <w:rsid w:val="00282854"/>
    <w:rsid w:val="002859AC"/>
    <w:rsid w:val="00285BF3"/>
    <w:rsid w:val="002923B9"/>
    <w:rsid w:val="00293ABA"/>
    <w:rsid w:val="00293DE9"/>
    <w:rsid w:val="00294042"/>
    <w:rsid w:val="002949F4"/>
    <w:rsid w:val="002977F3"/>
    <w:rsid w:val="002A0221"/>
    <w:rsid w:val="002A0E97"/>
    <w:rsid w:val="002A15B2"/>
    <w:rsid w:val="002A2C96"/>
    <w:rsid w:val="002A7776"/>
    <w:rsid w:val="002B1929"/>
    <w:rsid w:val="002B51CA"/>
    <w:rsid w:val="002B71A8"/>
    <w:rsid w:val="002C06ED"/>
    <w:rsid w:val="002C2CBC"/>
    <w:rsid w:val="002C4473"/>
    <w:rsid w:val="002C780D"/>
    <w:rsid w:val="002D027A"/>
    <w:rsid w:val="002D11CE"/>
    <w:rsid w:val="002D1443"/>
    <w:rsid w:val="002D3185"/>
    <w:rsid w:val="002D5B13"/>
    <w:rsid w:val="002E0490"/>
    <w:rsid w:val="002E20E5"/>
    <w:rsid w:val="002E3D45"/>
    <w:rsid w:val="002E529A"/>
    <w:rsid w:val="002E619E"/>
    <w:rsid w:val="002F0EEA"/>
    <w:rsid w:val="002F1D75"/>
    <w:rsid w:val="002F4B38"/>
    <w:rsid w:val="002F713F"/>
    <w:rsid w:val="00303833"/>
    <w:rsid w:val="00304555"/>
    <w:rsid w:val="00304A46"/>
    <w:rsid w:val="003052B2"/>
    <w:rsid w:val="0030699A"/>
    <w:rsid w:val="0031622E"/>
    <w:rsid w:val="00322B33"/>
    <w:rsid w:val="003253E2"/>
    <w:rsid w:val="003312D3"/>
    <w:rsid w:val="003351B4"/>
    <w:rsid w:val="00337519"/>
    <w:rsid w:val="00337872"/>
    <w:rsid w:val="00341CE3"/>
    <w:rsid w:val="00344591"/>
    <w:rsid w:val="003445A4"/>
    <w:rsid w:val="003502B1"/>
    <w:rsid w:val="00351255"/>
    <w:rsid w:val="00351563"/>
    <w:rsid w:val="003526D5"/>
    <w:rsid w:val="00352B1D"/>
    <w:rsid w:val="00352D76"/>
    <w:rsid w:val="00353B5C"/>
    <w:rsid w:val="0035504D"/>
    <w:rsid w:val="00362CD8"/>
    <w:rsid w:val="00362D4C"/>
    <w:rsid w:val="00371DBA"/>
    <w:rsid w:val="0037366C"/>
    <w:rsid w:val="00373AFF"/>
    <w:rsid w:val="0037440D"/>
    <w:rsid w:val="00376B51"/>
    <w:rsid w:val="00376C5D"/>
    <w:rsid w:val="00383954"/>
    <w:rsid w:val="003839A8"/>
    <w:rsid w:val="00384F28"/>
    <w:rsid w:val="003860B2"/>
    <w:rsid w:val="00391559"/>
    <w:rsid w:val="00391CD5"/>
    <w:rsid w:val="00392914"/>
    <w:rsid w:val="0039373B"/>
    <w:rsid w:val="00396D72"/>
    <w:rsid w:val="00397CB9"/>
    <w:rsid w:val="003A016A"/>
    <w:rsid w:val="003A27BC"/>
    <w:rsid w:val="003A2F36"/>
    <w:rsid w:val="003A6832"/>
    <w:rsid w:val="003B0962"/>
    <w:rsid w:val="003B21D4"/>
    <w:rsid w:val="003B3EAF"/>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7C7"/>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1830"/>
    <w:rsid w:val="00422212"/>
    <w:rsid w:val="0042391C"/>
    <w:rsid w:val="0042502E"/>
    <w:rsid w:val="00430C6E"/>
    <w:rsid w:val="00433090"/>
    <w:rsid w:val="004353CB"/>
    <w:rsid w:val="0044029A"/>
    <w:rsid w:val="00442FAE"/>
    <w:rsid w:val="00443CD7"/>
    <w:rsid w:val="00445A8A"/>
    <w:rsid w:val="0044604E"/>
    <w:rsid w:val="00447210"/>
    <w:rsid w:val="00454825"/>
    <w:rsid w:val="00455CDA"/>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93D01"/>
    <w:rsid w:val="004A0E81"/>
    <w:rsid w:val="004A1DB8"/>
    <w:rsid w:val="004A4AC7"/>
    <w:rsid w:val="004A52D3"/>
    <w:rsid w:val="004B03FD"/>
    <w:rsid w:val="004B2204"/>
    <w:rsid w:val="004B2360"/>
    <w:rsid w:val="004B2688"/>
    <w:rsid w:val="004B33EC"/>
    <w:rsid w:val="004B3A9D"/>
    <w:rsid w:val="004B48CD"/>
    <w:rsid w:val="004C4307"/>
    <w:rsid w:val="004C462E"/>
    <w:rsid w:val="004C61B9"/>
    <w:rsid w:val="004C71AB"/>
    <w:rsid w:val="004C764D"/>
    <w:rsid w:val="004D2437"/>
    <w:rsid w:val="004D6E70"/>
    <w:rsid w:val="004E11D0"/>
    <w:rsid w:val="004E39BD"/>
    <w:rsid w:val="004E3B1D"/>
    <w:rsid w:val="004E6175"/>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1B8A"/>
    <w:rsid w:val="0054220D"/>
    <w:rsid w:val="005423A5"/>
    <w:rsid w:val="005433C5"/>
    <w:rsid w:val="00545F8A"/>
    <w:rsid w:val="005463AC"/>
    <w:rsid w:val="00546868"/>
    <w:rsid w:val="00552FAD"/>
    <w:rsid w:val="00556D25"/>
    <w:rsid w:val="005604AD"/>
    <w:rsid w:val="00561AAC"/>
    <w:rsid w:val="00562AB0"/>
    <w:rsid w:val="00566785"/>
    <w:rsid w:val="005669DD"/>
    <w:rsid w:val="0056756F"/>
    <w:rsid w:val="00571653"/>
    <w:rsid w:val="00571A61"/>
    <w:rsid w:val="00571C81"/>
    <w:rsid w:val="00572F6C"/>
    <w:rsid w:val="0057346D"/>
    <w:rsid w:val="005761A6"/>
    <w:rsid w:val="00582C35"/>
    <w:rsid w:val="00585345"/>
    <w:rsid w:val="00593AD0"/>
    <w:rsid w:val="00593B7A"/>
    <w:rsid w:val="00595161"/>
    <w:rsid w:val="005967A2"/>
    <w:rsid w:val="00597872"/>
    <w:rsid w:val="005A3E20"/>
    <w:rsid w:val="005A5FC4"/>
    <w:rsid w:val="005A73D9"/>
    <w:rsid w:val="005A7DFC"/>
    <w:rsid w:val="005B1537"/>
    <w:rsid w:val="005B3722"/>
    <w:rsid w:val="005B54F6"/>
    <w:rsid w:val="005B5D5A"/>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32676"/>
    <w:rsid w:val="006326AB"/>
    <w:rsid w:val="00633FE2"/>
    <w:rsid w:val="00643649"/>
    <w:rsid w:val="006441ED"/>
    <w:rsid w:val="00645CD2"/>
    <w:rsid w:val="00647000"/>
    <w:rsid w:val="0065085F"/>
    <w:rsid w:val="00654361"/>
    <w:rsid w:val="0065695B"/>
    <w:rsid w:val="00657472"/>
    <w:rsid w:val="00657E48"/>
    <w:rsid w:val="00660A8B"/>
    <w:rsid w:val="006637D6"/>
    <w:rsid w:val="00664ACE"/>
    <w:rsid w:val="00667CED"/>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2D24"/>
    <w:rsid w:val="006C481B"/>
    <w:rsid w:val="006D0750"/>
    <w:rsid w:val="006D18CA"/>
    <w:rsid w:val="006D26C2"/>
    <w:rsid w:val="006D3D3E"/>
    <w:rsid w:val="006D4D0B"/>
    <w:rsid w:val="006D5157"/>
    <w:rsid w:val="006D5350"/>
    <w:rsid w:val="006D6890"/>
    <w:rsid w:val="006E1A6B"/>
    <w:rsid w:val="006E4366"/>
    <w:rsid w:val="006E5E38"/>
    <w:rsid w:val="006E618B"/>
    <w:rsid w:val="006F0BC4"/>
    <w:rsid w:val="006F1DFC"/>
    <w:rsid w:val="006F222E"/>
    <w:rsid w:val="006F49F1"/>
    <w:rsid w:val="006F4E16"/>
    <w:rsid w:val="00702CB8"/>
    <w:rsid w:val="007053C1"/>
    <w:rsid w:val="00707885"/>
    <w:rsid w:val="0071023A"/>
    <w:rsid w:val="007107A7"/>
    <w:rsid w:val="007119D4"/>
    <w:rsid w:val="00712430"/>
    <w:rsid w:val="007153BD"/>
    <w:rsid w:val="00716E65"/>
    <w:rsid w:val="007172A4"/>
    <w:rsid w:val="0072114B"/>
    <w:rsid w:val="007244F6"/>
    <w:rsid w:val="00724928"/>
    <w:rsid w:val="00725832"/>
    <w:rsid w:val="00726D46"/>
    <w:rsid w:val="00732C90"/>
    <w:rsid w:val="007370BC"/>
    <w:rsid w:val="007375D5"/>
    <w:rsid w:val="007423B2"/>
    <w:rsid w:val="007456E2"/>
    <w:rsid w:val="00747707"/>
    <w:rsid w:val="007545FC"/>
    <w:rsid w:val="00761029"/>
    <w:rsid w:val="0076148F"/>
    <w:rsid w:val="007656EC"/>
    <w:rsid w:val="00770B59"/>
    <w:rsid w:val="00771843"/>
    <w:rsid w:val="00773271"/>
    <w:rsid w:val="007763B3"/>
    <w:rsid w:val="0077695D"/>
    <w:rsid w:val="0078171A"/>
    <w:rsid w:val="00782183"/>
    <w:rsid w:val="007831EE"/>
    <w:rsid w:val="00783B76"/>
    <w:rsid w:val="00783F35"/>
    <w:rsid w:val="007842F4"/>
    <w:rsid w:val="00787861"/>
    <w:rsid w:val="00791D68"/>
    <w:rsid w:val="0079272B"/>
    <w:rsid w:val="0079408B"/>
    <w:rsid w:val="007949EF"/>
    <w:rsid w:val="0079633F"/>
    <w:rsid w:val="0079657F"/>
    <w:rsid w:val="00796C3C"/>
    <w:rsid w:val="00797BEC"/>
    <w:rsid w:val="007A48EF"/>
    <w:rsid w:val="007A4E31"/>
    <w:rsid w:val="007A508C"/>
    <w:rsid w:val="007A5C06"/>
    <w:rsid w:val="007A5D52"/>
    <w:rsid w:val="007A5E35"/>
    <w:rsid w:val="007A6177"/>
    <w:rsid w:val="007B09FE"/>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16D4D"/>
    <w:rsid w:val="00823513"/>
    <w:rsid w:val="0082390C"/>
    <w:rsid w:val="00823FCF"/>
    <w:rsid w:val="00827112"/>
    <w:rsid w:val="00827496"/>
    <w:rsid w:val="008321A8"/>
    <w:rsid w:val="0083282E"/>
    <w:rsid w:val="00832E79"/>
    <w:rsid w:val="00835D9A"/>
    <w:rsid w:val="00835EF3"/>
    <w:rsid w:val="008419E4"/>
    <w:rsid w:val="00844319"/>
    <w:rsid w:val="008454F5"/>
    <w:rsid w:val="00846CF1"/>
    <w:rsid w:val="00847741"/>
    <w:rsid w:val="00855241"/>
    <w:rsid w:val="008555CF"/>
    <w:rsid w:val="00855BE0"/>
    <w:rsid w:val="00856EFD"/>
    <w:rsid w:val="00857F3C"/>
    <w:rsid w:val="00860A68"/>
    <w:rsid w:val="00871839"/>
    <w:rsid w:val="00872A80"/>
    <w:rsid w:val="00875551"/>
    <w:rsid w:val="00875C7B"/>
    <w:rsid w:val="00876934"/>
    <w:rsid w:val="00876AC8"/>
    <w:rsid w:val="008829C7"/>
    <w:rsid w:val="00882B24"/>
    <w:rsid w:val="00882F9C"/>
    <w:rsid w:val="00885028"/>
    <w:rsid w:val="00886C11"/>
    <w:rsid w:val="00891455"/>
    <w:rsid w:val="0089569C"/>
    <w:rsid w:val="00895E5B"/>
    <w:rsid w:val="00896802"/>
    <w:rsid w:val="008A3B96"/>
    <w:rsid w:val="008A63DF"/>
    <w:rsid w:val="008A68FF"/>
    <w:rsid w:val="008B1002"/>
    <w:rsid w:val="008B2C0A"/>
    <w:rsid w:val="008B582B"/>
    <w:rsid w:val="008B5A1E"/>
    <w:rsid w:val="008B5BDF"/>
    <w:rsid w:val="008C226C"/>
    <w:rsid w:val="008C23C3"/>
    <w:rsid w:val="008C37DF"/>
    <w:rsid w:val="008C5656"/>
    <w:rsid w:val="008C7A02"/>
    <w:rsid w:val="008C7EA6"/>
    <w:rsid w:val="008D0268"/>
    <w:rsid w:val="008D1558"/>
    <w:rsid w:val="008D2417"/>
    <w:rsid w:val="008D3E90"/>
    <w:rsid w:val="008D4CB6"/>
    <w:rsid w:val="008D50C7"/>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74D0"/>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0294"/>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254"/>
    <w:rsid w:val="00A61620"/>
    <w:rsid w:val="00A62876"/>
    <w:rsid w:val="00A7005D"/>
    <w:rsid w:val="00A7369A"/>
    <w:rsid w:val="00A73F5F"/>
    <w:rsid w:val="00A76236"/>
    <w:rsid w:val="00A76F72"/>
    <w:rsid w:val="00A7710B"/>
    <w:rsid w:val="00A91FBB"/>
    <w:rsid w:val="00A9486C"/>
    <w:rsid w:val="00A967C7"/>
    <w:rsid w:val="00A9708D"/>
    <w:rsid w:val="00AA2C67"/>
    <w:rsid w:val="00AA4952"/>
    <w:rsid w:val="00AA496F"/>
    <w:rsid w:val="00AA5486"/>
    <w:rsid w:val="00AB0F46"/>
    <w:rsid w:val="00AB16F9"/>
    <w:rsid w:val="00AB23D7"/>
    <w:rsid w:val="00AB243A"/>
    <w:rsid w:val="00AB56A4"/>
    <w:rsid w:val="00AB5BB9"/>
    <w:rsid w:val="00AB6431"/>
    <w:rsid w:val="00AC3144"/>
    <w:rsid w:val="00AC52D7"/>
    <w:rsid w:val="00AC7369"/>
    <w:rsid w:val="00AD1095"/>
    <w:rsid w:val="00AD565A"/>
    <w:rsid w:val="00AD5E29"/>
    <w:rsid w:val="00AD6766"/>
    <w:rsid w:val="00AE7F5D"/>
    <w:rsid w:val="00AF0B72"/>
    <w:rsid w:val="00AF1C0F"/>
    <w:rsid w:val="00AF35C2"/>
    <w:rsid w:val="00AF42C2"/>
    <w:rsid w:val="00AF42DC"/>
    <w:rsid w:val="00AF47EF"/>
    <w:rsid w:val="00AF61D7"/>
    <w:rsid w:val="00AF6A34"/>
    <w:rsid w:val="00B04642"/>
    <w:rsid w:val="00B04E01"/>
    <w:rsid w:val="00B06874"/>
    <w:rsid w:val="00B07EAE"/>
    <w:rsid w:val="00B1075F"/>
    <w:rsid w:val="00B111E1"/>
    <w:rsid w:val="00B135A2"/>
    <w:rsid w:val="00B13697"/>
    <w:rsid w:val="00B20D1A"/>
    <w:rsid w:val="00B26583"/>
    <w:rsid w:val="00B2763C"/>
    <w:rsid w:val="00B27F58"/>
    <w:rsid w:val="00B31866"/>
    <w:rsid w:val="00B3257D"/>
    <w:rsid w:val="00B328F8"/>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643B"/>
    <w:rsid w:val="00BE0557"/>
    <w:rsid w:val="00BE0815"/>
    <w:rsid w:val="00BE188E"/>
    <w:rsid w:val="00BE223D"/>
    <w:rsid w:val="00BE4274"/>
    <w:rsid w:val="00BE6599"/>
    <w:rsid w:val="00BF0F9F"/>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5500"/>
    <w:rsid w:val="00C46385"/>
    <w:rsid w:val="00C5084D"/>
    <w:rsid w:val="00C508D6"/>
    <w:rsid w:val="00C51A75"/>
    <w:rsid w:val="00C520E9"/>
    <w:rsid w:val="00C5255D"/>
    <w:rsid w:val="00C54AB8"/>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20A5"/>
    <w:rsid w:val="00CA3C33"/>
    <w:rsid w:val="00CA4369"/>
    <w:rsid w:val="00CA6583"/>
    <w:rsid w:val="00CB28C9"/>
    <w:rsid w:val="00CB672B"/>
    <w:rsid w:val="00CB7211"/>
    <w:rsid w:val="00CC1A98"/>
    <w:rsid w:val="00CC23A0"/>
    <w:rsid w:val="00CC6723"/>
    <w:rsid w:val="00CC7EC5"/>
    <w:rsid w:val="00CD45BE"/>
    <w:rsid w:val="00CD5112"/>
    <w:rsid w:val="00CD52A9"/>
    <w:rsid w:val="00CD642B"/>
    <w:rsid w:val="00CD6A77"/>
    <w:rsid w:val="00CD6FEB"/>
    <w:rsid w:val="00CE4087"/>
    <w:rsid w:val="00CE61D3"/>
    <w:rsid w:val="00CE67DD"/>
    <w:rsid w:val="00CF13F4"/>
    <w:rsid w:val="00CF4683"/>
    <w:rsid w:val="00CF5258"/>
    <w:rsid w:val="00CF7148"/>
    <w:rsid w:val="00D007DE"/>
    <w:rsid w:val="00D01EF1"/>
    <w:rsid w:val="00D0245E"/>
    <w:rsid w:val="00D0259D"/>
    <w:rsid w:val="00D03DB3"/>
    <w:rsid w:val="00D047DC"/>
    <w:rsid w:val="00D04DA5"/>
    <w:rsid w:val="00D05AFF"/>
    <w:rsid w:val="00D06C03"/>
    <w:rsid w:val="00D06ECB"/>
    <w:rsid w:val="00D10A4C"/>
    <w:rsid w:val="00D11BBC"/>
    <w:rsid w:val="00D13EF1"/>
    <w:rsid w:val="00D144A8"/>
    <w:rsid w:val="00D15D08"/>
    <w:rsid w:val="00D205A6"/>
    <w:rsid w:val="00D20C17"/>
    <w:rsid w:val="00D20C8C"/>
    <w:rsid w:val="00D21D29"/>
    <w:rsid w:val="00D25D5B"/>
    <w:rsid w:val="00D25EE8"/>
    <w:rsid w:val="00D26713"/>
    <w:rsid w:val="00D30230"/>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69F5"/>
    <w:rsid w:val="00D67AFE"/>
    <w:rsid w:val="00D72C5E"/>
    <w:rsid w:val="00D74BD3"/>
    <w:rsid w:val="00D77200"/>
    <w:rsid w:val="00D778CC"/>
    <w:rsid w:val="00D81724"/>
    <w:rsid w:val="00D8210F"/>
    <w:rsid w:val="00D83C64"/>
    <w:rsid w:val="00D94F5F"/>
    <w:rsid w:val="00DA1668"/>
    <w:rsid w:val="00DA20D3"/>
    <w:rsid w:val="00DA3493"/>
    <w:rsid w:val="00DA3852"/>
    <w:rsid w:val="00DA49C4"/>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25F6"/>
    <w:rsid w:val="00DE3E55"/>
    <w:rsid w:val="00DE584B"/>
    <w:rsid w:val="00DF22D8"/>
    <w:rsid w:val="00DF76E3"/>
    <w:rsid w:val="00E02024"/>
    <w:rsid w:val="00E03013"/>
    <w:rsid w:val="00E03104"/>
    <w:rsid w:val="00E03ABA"/>
    <w:rsid w:val="00E04EC2"/>
    <w:rsid w:val="00E10213"/>
    <w:rsid w:val="00E108F5"/>
    <w:rsid w:val="00E11808"/>
    <w:rsid w:val="00E11F16"/>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13E0"/>
    <w:rsid w:val="00E52669"/>
    <w:rsid w:val="00E53823"/>
    <w:rsid w:val="00E53C01"/>
    <w:rsid w:val="00E544A0"/>
    <w:rsid w:val="00E56193"/>
    <w:rsid w:val="00E576B9"/>
    <w:rsid w:val="00E57FE0"/>
    <w:rsid w:val="00E613A3"/>
    <w:rsid w:val="00E621AC"/>
    <w:rsid w:val="00E6468A"/>
    <w:rsid w:val="00E701B2"/>
    <w:rsid w:val="00E709E6"/>
    <w:rsid w:val="00E70AEC"/>
    <w:rsid w:val="00E71207"/>
    <w:rsid w:val="00E71AAB"/>
    <w:rsid w:val="00E727A7"/>
    <w:rsid w:val="00E73444"/>
    <w:rsid w:val="00E73E77"/>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6878"/>
    <w:rsid w:val="00ED077F"/>
    <w:rsid w:val="00ED236B"/>
    <w:rsid w:val="00ED2581"/>
    <w:rsid w:val="00ED58B7"/>
    <w:rsid w:val="00ED5923"/>
    <w:rsid w:val="00EE082D"/>
    <w:rsid w:val="00EE2B02"/>
    <w:rsid w:val="00EE31B3"/>
    <w:rsid w:val="00EE392C"/>
    <w:rsid w:val="00EF11A3"/>
    <w:rsid w:val="00EF6DEE"/>
    <w:rsid w:val="00F023B8"/>
    <w:rsid w:val="00F10068"/>
    <w:rsid w:val="00F11DC3"/>
    <w:rsid w:val="00F158C5"/>
    <w:rsid w:val="00F20983"/>
    <w:rsid w:val="00F20E21"/>
    <w:rsid w:val="00F212C3"/>
    <w:rsid w:val="00F252AD"/>
    <w:rsid w:val="00F3165C"/>
    <w:rsid w:val="00F320EF"/>
    <w:rsid w:val="00F3218A"/>
    <w:rsid w:val="00F34787"/>
    <w:rsid w:val="00F358CB"/>
    <w:rsid w:val="00F405D2"/>
    <w:rsid w:val="00F44AA9"/>
    <w:rsid w:val="00F45305"/>
    <w:rsid w:val="00F47743"/>
    <w:rsid w:val="00F519FB"/>
    <w:rsid w:val="00F54E2D"/>
    <w:rsid w:val="00F57119"/>
    <w:rsid w:val="00F60CB5"/>
    <w:rsid w:val="00F70635"/>
    <w:rsid w:val="00F729A4"/>
    <w:rsid w:val="00F738B9"/>
    <w:rsid w:val="00F74241"/>
    <w:rsid w:val="00F77867"/>
    <w:rsid w:val="00F77A11"/>
    <w:rsid w:val="00F77AD1"/>
    <w:rsid w:val="00F804D1"/>
    <w:rsid w:val="00F81275"/>
    <w:rsid w:val="00F84B06"/>
    <w:rsid w:val="00F86FB8"/>
    <w:rsid w:val="00F8766A"/>
    <w:rsid w:val="00F92391"/>
    <w:rsid w:val="00F96E1F"/>
    <w:rsid w:val="00FA0267"/>
    <w:rsid w:val="00FA1FBB"/>
    <w:rsid w:val="00FB3AD9"/>
    <w:rsid w:val="00FB7D4F"/>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265726246">
      <w:bodyDiv w:val="1"/>
      <w:marLeft w:val="0"/>
      <w:marRight w:val="0"/>
      <w:marTop w:val="0"/>
      <w:marBottom w:val="0"/>
      <w:divBdr>
        <w:top w:val="none" w:sz="0" w:space="0" w:color="auto"/>
        <w:left w:val="none" w:sz="0" w:space="0" w:color="auto"/>
        <w:bottom w:val="none" w:sz="0" w:space="0" w:color="auto"/>
        <w:right w:val="none" w:sz="0" w:space="0" w:color="auto"/>
      </w:divBdr>
    </w:div>
    <w:div w:id="1316446627">
      <w:bodyDiv w:val="1"/>
      <w:marLeft w:val="0"/>
      <w:marRight w:val="0"/>
      <w:marTop w:val="0"/>
      <w:marBottom w:val="0"/>
      <w:divBdr>
        <w:top w:val="none" w:sz="0" w:space="0" w:color="auto"/>
        <w:left w:val="none" w:sz="0" w:space="0" w:color="auto"/>
        <w:bottom w:val="none" w:sz="0" w:space="0" w:color="auto"/>
        <w:right w:val="none" w:sz="0" w:space="0" w:color="auto"/>
      </w:divBdr>
    </w:div>
    <w:div w:id="1719933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3B5782-C208-4333-9586-623580D1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2921</Words>
  <Characters>16650</Characters>
  <Application>Microsoft Office Word</Application>
  <DocSecurity>0</DocSecurity>
  <Lines>138</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19532</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2012-11-05T12:30:00Z</cp:lastPrinted>
  <dcterms:created xsi:type="dcterms:W3CDTF">2012-11-20T11:07:00Z</dcterms:created>
  <dcterms:modified xsi:type="dcterms:W3CDTF">2012-11-27T12:56:00Z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