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3216C2" w:rsidRDefault="0009016A" w:rsidP="003216C2">
      <w:pPr>
        <w:spacing w:line="240" w:lineRule="auto"/>
        <w:ind w:left="-851"/>
        <w:jc w:val="center"/>
        <w:rPr>
          <w:rFonts w:ascii="Arial" w:hAnsi="Arial" w:cs="Arial"/>
          <w:sz w:val="40"/>
          <w:szCs w:val="40"/>
          <w:lang w:val="en-US"/>
        </w:rPr>
      </w:pPr>
      <w:r>
        <w:rPr>
          <w:rFonts w:ascii="Arial" w:hAnsi="Arial" w:cs="Arial"/>
          <w:sz w:val="40"/>
          <w:szCs w:val="40"/>
          <w:lang w:val="en-US"/>
        </w:rPr>
        <w:t>Madeira – Azores – Canary Islands (</w:t>
      </w:r>
      <w:r w:rsidR="00A232A8" w:rsidRPr="003216C2">
        <w:rPr>
          <w:rFonts w:ascii="Arial" w:hAnsi="Arial" w:cs="Arial"/>
          <w:sz w:val="40"/>
          <w:szCs w:val="40"/>
          <w:lang w:val="en-US"/>
        </w:rPr>
        <w:t>Macronesia</w:t>
      </w:r>
      <w:r>
        <w:rPr>
          <w:rFonts w:ascii="Arial" w:hAnsi="Arial" w:cs="Arial"/>
          <w:sz w:val="40"/>
          <w:szCs w:val="40"/>
          <w:lang w:val="en-US"/>
        </w:rPr>
        <w:t>)</w:t>
      </w:r>
    </w:p>
    <w:p w:rsidR="00E613A3" w:rsidRDefault="006E4FE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12360" cy="4657090"/>
            <wp:effectExtent l="19050" t="0" r="254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12360" cy="4657090"/>
                    </a:xfrm>
                    <a:prstGeom prst="rect">
                      <a:avLst/>
                    </a:prstGeom>
                    <a:noFill/>
                    <a:ln w="9525">
                      <a:noFill/>
                      <a:miter lim="800000"/>
                      <a:headEnd/>
                      <a:tailEnd/>
                    </a:ln>
                  </pic:spPr>
                </pic:pic>
              </a:graphicData>
            </a:graphic>
          </wp:inline>
        </w:drawing>
      </w:r>
    </w:p>
    <w:p w:rsidR="00BC65E1" w:rsidRPr="008F09C6" w:rsidRDefault="00BC65E1" w:rsidP="00337519">
      <w:pPr>
        <w:spacing w:after="0" w:line="240" w:lineRule="auto"/>
        <w:ind w:left="-851"/>
        <w:rPr>
          <w:rFonts w:ascii="Arial" w:hAnsi="Arial" w:cs="Arial"/>
          <w:sz w:val="16"/>
          <w:szCs w:val="16"/>
          <w:lang w:val="en-US"/>
        </w:rPr>
      </w:pPr>
    </w:p>
    <w:p w:rsidR="003216C2" w:rsidRDefault="003216C2" w:rsidP="003216C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3216C2" w:rsidRDefault="003216C2" w:rsidP="003216C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1754B1" w:rsidRPr="0085195F" w:rsidRDefault="0037764A" w:rsidP="001754B1">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1754B1">
        <w:t>This</w:t>
      </w:r>
      <w:r w:rsidR="001754B1" w:rsidRPr="0085195F">
        <w:t xml:space="preserve"> is intended as an electronic publication so map quality is generally high to allow users to zoom into specific territories.</w:t>
      </w:r>
    </w:p>
    <w:p w:rsidR="0037764A" w:rsidRDefault="001754B1" w:rsidP="001754B1">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177A9B">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C0732F" w:rsidRDefault="00C0732F" w:rsidP="00C0732F">
      <w:r>
        <w:t>In the following the traffic light for each indicator represents how your programme territory compares to wider European medians where green = your programme area performs better for that indicator, yellow = similar, and red = worse</w:t>
      </w:r>
      <w:r w:rsidR="001754B1">
        <w:t>.</w:t>
      </w:r>
    </w:p>
    <w:p w:rsidR="00AB3D07" w:rsidRPr="001A1861" w:rsidRDefault="00AB3D07" w:rsidP="00AB3D07">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AB3D07" w:rsidRDefault="00AB3D07" w:rsidP="00AB3D07">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AB3D07" w:rsidRDefault="00AB3D07">
      <w:pPr>
        <w:spacing w:after="0" w:line="240" w:lineRule="auto"/>
        <w:jc w:val="left"/>
        <w:rPr>
          <w:lang w:val="en-US"/>
        </w:rPr>
      </w:pPr>
      <w:r>
        <w:rPr>
          <w:lang w:val="en-US"/>
        </w:rPr>
        <w:br w:type="page"/>
      </w:r>
    </w:p>
    <w:p w:rsidR="00337872" w:rsidRDefault="00E43562" w:rsidP="00337872">
      <w:pPr>
        <w:pStyle w:val="Heading3"/>
      </w:pPr>
      <w:r w:rsidRPr="007F5973">
        <w:lastRenderedPageBreak/>
        <w:t xml:space="preserve">Smart, Sustainable and Inclusive </w:t>
      </w:r>
      <w:r w:rsidR="00337872" w:rsidRPr="007F5973">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E1287C">
        <w:t>. In the framework of the Europe</w:t>
      </w:r>
      <w:r>
        <w:t xml:space="preserve"> 2020 Strategy it means focus on competitiveness, resource efficiency, climate change and biodiversity.</w:t>
      </w:r>
    </w:p>
    <w:p w:rsidR="00E43562" w:rsidRDefault="00C0732F" w:rsidP="00E43562">
      <w:r>
        <w:rPr>
          <w:noProof/>
          <w:lang w:val="en-US"/>
        </w:rPr>
        <w:drawing>
          <wp:anchor distT="0" distB="0" distL="114300" distR="114300" simplePos="0" relativeHeight="251675136" behindDoc="1" locked="0" layoutInCell="1" allowOverlap="1">
            <wp:simplePos x="0" y="0"/>
            <wp:positionH relativeFrom="column">
              <wp:posOffset>-386715</wp:posOffset>
            </wp:positionH>
            <wp:positionV relativeFrom="paragraph">
              <wp:posOffset>1273175</wp:posOffset>
            </wp:positionV>
            <wp:extent cx="6010910" cy="3742055"/>
            <wp:effectExtent l="19050" t="0" r="8890" b="0"/>
            <wp:wrapTight wrapText="bothSides">
              <wp:wrapPolygon edited="0">
                <wp:start x="-68" y="0"/>
                <wp:lineTo x="-68" y="21442"/>
                <wp:lineTo x="21632" y="21442"/>
                <wp:lineTo x="21632" y="0"/>
                <wp:lineTo x="-68"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10910" cy="3742055"/>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237808" w:rsidRDefault="00237808" w:rsidP="00E43562"/>
    <w:p w:rsidR="007F5973" w:rsidRDefault="007F5973" w:rsidP="007F5973">
      <w:pPr>
        <w:spacing w:line="240" w:lineRule="atLeast"/>
        <w:rPr>
          <w:szCs w:val="20"/>
          <w:lang w:val="en-US"/>
        </w:rPr>
      </w:pPr>
      <w:r>
        <w:rPr>
          <w:szCs w:val="20"/>
          <w:lang w:val="en-US"/>
        </w:rPr>
        <w:t>L</w:t>
      </w:r>
      <w:r w:rsidRPr="00811EB5">
        <w:rPr>
          <w:szCs w:val="20"/>
          <w:lang w:val="en-US"/>
        </w:rPr>
        <w:t xml:space="preserve">ooking at the indicators for </w:t>
      </w:r>
      <w:r w:rsidRPr="00811EB5">
        <w:rPr>
          <w:b/>
          <w:szCs w:val="20"/>
          <w:lang w:val="en-US"/>
        </w:rPr>
        <w:t>smart growth</w:t>
      </w:r>
      <w:r>
        <w:rPr>
          <w:szCs w:val="20"/>
          <w:lang w:val="en-US"/>
        </w:rPr>
        <w:t>, the Macronesia TNC area performs worse than the EU27+4 with regards to all</w:t>
      </w:r>
      <w:r w:rsidR="00850DA1">
        <w:rPr>
          <w:szCs w:val="20"/>
          <w:lang w:val="en-US"/>
        </w:rPr>
        <w:t xml:space="preserve"> populated</w:t>
      </w:r>
      <w:r>
        <w:rPr>
          <w:szCs w:val="20"/>
          <w:lang w:val="en-US"/>
        </w:rPr>
        <w:t xml:space="preserve"> indicators included in the traffic lights graph above: R&amp;D expenditure, the employment in knowledge-intensive services and the number of persons regularly using the internet. </w:t>
      </w:r>
    </w:p>
    <w:p w:rsidR="007F5973" w:rsidRDefault="007F5973" w:rsidP="007F5973">
      <w:pPr>
        <w:rPr>
          <w:szCs w:val="20"/>
          <w:lang w:val="en-US"/>
        </w:rPr>
      </w:pPr>
      <w:r>
        <w:rPr>
          <w:szCs w:val="20"/>
          <w:lang w:val="en-US"/>
        </w:rPr>
        <w:t xml:space="preserve">There is no data about the wind energy potential, the ozone concentration nor the potential vulnerability to climate change of the Macronesia TNC area which is why it is not possible to compare the area with the EU27+4 or all TNC areas and the traffic lights for the </w:t>
      </w:r>
      <w:r w:rsidRPr="000032B9">
        <w:rPr>
          <w:b/>
          <w:szCs w:val="20"/>
          <w:lang w:val="en-US"/>
        </w:rPr>
        <w:t>sustainable growth</w:t>
      </w:r>
      <w:r>
        <w:rPr>
          <w:szCs w:val="20"/>
          <w:lang w:val="en-US"/>
        </w:rPr>
        <w:t xml:space="preserve"> indicators are empty.</w:t>
      </w:r>
    </w:p>
    <w:p w:rsidR="00E43562" w:rsidRDefault="007F5973" w:rsidP="00AB3D07">
      <w:pPr>
        <w:rPr>
          <w:lang w:val="en-US"/>
        </w:rPr>
      </w:pPr>
      <w:r>
        <w:rPr>
          <w:lang w:val="en-US"/>
        </w:rPr>
        <w:lastRenderedPageBreak/>
        <w:t xml:space="preserve">With regards to the </w:t>
      </w:r>
      <w:r w:rsidRPr="00AF1551">
        <w:rPr>
          <w:b/>
          <w:lang w:val="en-US"/>
        </w:rPr>
        <w:t>inclusive growth</w:t>
      </w:r>
      <w:r>
        <w:rPr>
          <w:lang w:val="en-US"/>
        </w:rPr>
        <w:t xml:space="preserve"> indicators, the </w:t>
      </w:r>
      <w:r w:rsidR="00177A9B">
        <w:rPr>
          <w:lang w:val="en-US"/>
        </w:rPr>
        <w:t>Macronesia</w:t>
      </w:r>
      <w:r>
        <w:rPr>
          <w:lang w:val="en-US"/>
        </w:rPr>
        <w:t xml:space="preserve"> TNC area has a higher long-term unemployment rate, a higher at-risk-of-poverty rate and a lower number of persons</w:t>
      </w:r>
      <w:r w:rsidRPr="00AF1551">
        <w:rPr>
          <w:szCs w:val="20"/>
          <w:lang w:val="en-US"/>
        </w:rPr>
        <w:t xml:space="preserve"> </w:t>
      </w:r>
      <w:r>
        <w:rPr>
          <w:szCs w:val="20"/>
          <w:lang w:val="en-US"/>
        </w:rPr>
        <w:t xml:space="preserve">aged 25-64 and 20-24 with upper secondary or tertiary education attainment </w:t>
      </w:r>
      <w:r>
        <w:rPr>
          <w:lang w:val="en-US"/>
        </w:rPr>
        <w:t>than the EU27+4 and all TNC areas.</w:t>
      </w:r>
    </w:p>
    <w:p w:rsidR="00AB3D07" w:rsidRPr="00CA40C7" w:rsidRDefault="00AB3D07" w:rsidP="00AB3D07"/>
    <w:p w:rsidR="008A3B96" w:rsidRPr="004E39BD" w:rsidRDefault="00337872" w:rsidP="008A3B96">
      <w:pPr>
        <w:rPr>
          <w:b/>
        </w:rPr>
      </w:pPr>
      <w:r w:rsidRPr="004E39BD">
        <w:rPr>
          <w:b/>
        </w:rPr>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A232A8">
        <w:rPr>
          <w:b/>
        </w:rPr>
        <w:t>Macronesia</w:t>
      </w:r>
    </w:p>
    <w:p w:rsidR="008A3B96" w:rsidRDefault="008A3B96" w:rsidP="008A3B96"/>
    <w:p w:rsidR="008A3B96" w:rsidRDefault="004E20E6" w:rsidP="008A3B96">
      <w:pPr>
        <w:spacing w:after="0" w:line="240" w:lineRule="auto"/>
      </w:pPr>
      <w:r>
        <w:rPr>
          <w:noProof/>
          <w:lang w:val="en-US"/>
        </w:rPr>
        <w:drawing>
          <wp:inline distT="0" distB="0" distL="0" distR="0">
            <wp:extent cx="5278755" cy="6284584"/>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A232A8">
        <w:rPr>
          <w:b/>
        </w:rPr>
        <w:t>Macronesia</w:t>
      </w:r>
    </w:p>
    <w:p w:rsidR="00D26713" w:rsidRDefault="00D26713" w:rsidP="00D26713">
      <w:pPr>
        <w:spacing w:after="0" w:line="240" w:lineRule="auto"/>
        <w:rPr>
          <w:noProof/>
          <w:lang w:eastAsia="en-GB"/>
        </w:rPr>
      </w:pPr>
    </w:p>
    <w:p w:rsidR="00D26713" w:rsidRDefault="004E20E6" w:rsidP="00D26713">
      <w:pPr>
        <w:spacing w:after="0" w:line="240" w:lineRule="auto"/>
        <w:rPr>
          <w:noProof/>
          <w:lang w:eastAsia="en-GB"/>
        </w:rPr>
      </w:pPr>
      <w:r>
        <w:rPr>
          <w:noProof/>
          <w:lang w:val="en-US"/>
        </w:rPr>
        <w:drawing>
          <wp:inline distT="0" distB="0" distL="0" distR="0">
            <wp:extent cx="5278755" cy="5815626"/>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A232A8">
        <w:rPr>
          <w:b/>
        </w:rPr>
        <w:t>Macronesia</w:t>
      </w:r>
    </w:p>
    <w:p w:rsidR="00AB3D07" w:rsidRPr="00021CAB" w:rsidRDefault="00AB3D07" w:rsidP="00AB3D0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C41300">
      <w:pPr>
        <w:spacing w:after="0" w:line="240" w:lineRule="auto"/>
        <w:jc w:val="left"/>
        <w:rPr>
          <w:noProof/>
          <w:lang w:eastAsia="en-GB"/>
        </w:rPr>
      </w:pPr>
      <w:r>
        <w:rPr>
          <w:noProof/>
          <w:lang w:val="en-US"/>
        </w:rPr>
        <w:drawing>
          <wp:inline distT="0" distB="0" distL="0" distR="0">
            <wp:extent cx="5278755" cy="6831330"/>
            <wp:effectExtent l="19050" t="0" r="0" b="0"/>
            <wp:docPr id="17" name="Grafik 15"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A232A8">
        <w:rPr>
          <w:b/>
        </w:rPr>
        <w:t>Macronesia</w:t>
      </w:r>
    </w:p>
    <w:p w:rsidR="0089569C" w:rsidRDefault="0089569C" w:rsidP="0089569C">
      <w:pPr>
        <w:spacing w:after="0" w:line="240" w:lineRule="auto"/>
        <w:rPr>
          <w:noProof/>
          <w:lang w:eastAsia="en-GB"/>
        </w:rPr>
      </w:pPr>
    </w:p>
    <w:p w:rsidR="0089569C" w:rsidRDefault="00C41300" w:rsidP="0089569C">
      <w:pPr>
        <w:spacing w:after="0" w:line="240" w:lineRule="auto"/>
        <w:rPr>
          <w:noProof/>
          <w:lang w:eastAsia="en-GB"/>
        </w:rPr>
      </w:pPr>
      <w:r>
        <w:rPr>
          <w:noProof/>
          <w:lang w:val="en-US"/>
        </w:rPr>
        <w:drawing>
          <wp:inline distT="0" distB="0" distL="0" distR="0">
            <wp:extent cx="5278755" cy="6911340"/>
            <wp:effectExtent l="19050" t="0" r="0" b="0"/>
            <wp:docPr id="18" name="Grafik 17"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A232A8">
        <w:rPr>
          <w:b/>
        </w:rPr>
        <w:t>Macronesia</w:t>
      </w:r>
    </w:p>
    <w:p w:rsidR="006166FD" w:rsidRDefault="006166FD" w:rsidP="00FD4E3A">
      <w:pPr>
        <w:spacing w:after="0" w:line="240" w:lineRule="auto"/>
        <w:jc w:val="left"/>
        <w:rPr>
          <w:noProof/>
          <w:lang w:eastAsia="en-GB"/>
        </w:rPr>
      </w:pPr>
    </w:p>
    <w:p w:rsidR="006166FD" w:rsidRDefault="00352C67" w:rsidP="00FD4E3A">
      <w:pPr>
        <w:spacing w:after="0" w:line="240" w:lineRule="auto"/>
        <w:jc w:val="left"/>
        <w:rPr>
          <w:noProof/>
          <w:lang w:eastAsia="en-GB"/>
        </w:rPr>
      </w:pPr>
      <w:r>
        <w:rPr>
          <w:noProof/>
          <w:lang w:val="en-US"/>
        </w:rPr>
        <w:drawing>
          <wp:anchor distT="0" distB="0" distL="114300" distR="114300" simplePos="0" relativeHeight="251676160" behindDoc="0" locked="0" layoutInCell="1" allowOverlap="1">
            <wp:simplePos x="0" y="0"/>
            <wp:positionH relativeFrom="column">
              <wp:posOffset>1248410</wp:posOffset>
            </wp:positionH>
            <wp:positionV relativeFrom="paragraph">
              <wp:posOffset>5121275</wp:posOffset>
            </wp:positionV>
            <wp:extent cx="916305" cy="414655"/>
            <wp:effectExtent l="19050" t="0" r="0" b="0"/>
            <wp:wrapNone/>
            <wp:docPr id="3"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C41300">
        <w:rPr>
          <w:noProof/>
          <w:lang w:val="en-US"/>
        </w:rPr>
        <w:drawing>
          <wp:inline distT="0" distB="0" distL="0" distR="0">
            <wp:extent cx="5278755" cy="6141085"/>
            <wp:effectExtent l="19050" t="0" r="0" b="0"/>
            <wp:docPr id="19" name="Grafik 18"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Default="005761A6" w:rsidP="005761A6">
      <w:pPr>
        <w:pStyle w:val="Heading1"/>
      </w:pPr>
      <w:r w:rsidRPr="00237808">
        <w:lastRenderedPageBreak/>
        <w:t xml:space="preserve">Territorial factors of interest for the programme area </w:t>
      </w:r>
    </w:p>
    <w:p w:rsidR="00AE2A5A" w:rsidRDefault="00AE2A5A" w:rsidP="00AE2A5A">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E2A5A" w:rsidRDefault="00AE2A5A" w:rsidP="00AE2A5A">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AE2A5A" w:rsidRDefault="00AE2A5A" w:rsidP="00AE2A5A">
      <w:r>
        <w:t xml:space="preserve">However many ESPON maps and data sets are only of partial interest for outermost areas and the territorial cooperation programmes they are involved in.  </w:t>
      </w:r>
      <w:r w:rsidR="00177A9B" w:rsidRPr="002301AE">
        <w:t>Overseas</w:t>
      </w:r>
      <w:r w:rsidRPr="002301AE">
        <w:t xml:space="preserve"> territories are, first, remote from continental EU. Besides, these territories are a</w:t>
      </w:r>
      <w:r>
        <w:t>ll both insular and mountainous (</w:t>
      </w:r>
      <w:r w:rsidRPr="002301AE">
        <w:t>except for French Guyana</w:t>
      </w:r>
      <w:r>
        <w:t>)</w:t>
      </w:r>
      <w:r w:rsidRPr="002301AE">
        <w:t xml:space="preserve">. </w:t>
      </w:r>
    </w:p>
    <w:p w:rsidR="00AE2A5A" w:rsidRPr="002301AE" w:rsidRDefault="00AE2A5A" w:rsidP="00AE2A5A">
      <w:r>
        <w:t xml:space="preserve">In territorial terms the programme area of </w:t>
      </w:r>
      <w:r w:rsidR="00177A9B">
        <w:t>Macronesia</w:t>
      </w:r>
      <w:r>
        <w:t xml:space="preserve"> can be characterised by remoteness, insularity (even with double insularity), small territory, complex territorial morphology, specific climate conditions and natural risks, as well as vulnerability to climate change. </w:t>
      </w:r>
    </w:p>
    <w:p w:rsidR="00AE2A5A" w:rsidRPr="002301AE" w:rsidRDefault="00AE2A5A" w:rsidP="00AE2A5A">
      <w:r>
        <w:t>As the ESPON GEOSPECS report points out, i</w:t>
      </w:r>
      <w:r w:rsidRPr="002301AE">
        <w:t>nsularity can be considered as another dimension in remoteness. It</w:t>
      </w:r>
      <w:r>
        <w:t xml:space="preserve"> </w:t>
      </w:r>
      <w:r w:rsidRPr="002301AE">
        <w:t>necessarily brings accessibility and transportation issues, and various types of constraints as regards resources (e.g., energy water generation</w:t>
      </w:r>
      <w:r>
        <w:t xml:space="preserve"> </w:t>
      </w:r>
      <w:r w:rsidRPr="002301AE">
        <w:t>and storage/use, waste management). Double insularity makes these</w:t>
      </w:r>
      <w:r>
        <w:t xml:space="preserve"> </w:t>
      </w:r>
      <w:r w:rsidRPr="002301AE">
        <w:t>issues even more acute, and creates additional ones: internal accessibility</w:t>
      </w:r>
      <w:r>
        <w:t xml:space="preserve"> </w:t>
      </w:r>
      <w:r w:rsidRPr="002301AE">
        <w:t>issues must be addressed (by boat or air, which is more expensive); it is</w:t>
      </w:r>
      <w:r>
        <w:t xml:space="preserve"> </w:t>
      </w:r>
      <w:r w:rsidRPr="002301AE">
        <w:t>often necessary to duplicate infrastructures (e.g., for health or education);</w:t>
      </w:r>
      <w:r>
        <w:t xml:space="preserve"> </w:t>
      </w:r>
      <w:r w:rsidRPr="002301AE">
        <w:t>and it is also expensive to maintain several small structures. What is true</w:t>
      </w:r>
      <w:r>
        <w:t xml:space="preserve"> </w:t>
      </w:r>
      <w:r w:rsidRPr="002301AE">
        <w:t>for public infrastructures is equally true for private ones, and represents a</w:t>
      </w:r>
      <w:r>
        <w:t xml:space="preserve"> </w:t>
      </w:r>
      <w:r w:rsidRPr="002301AE">
        <w:t>burden for the development of economic activities (notably industrial</w:t>
      </w:r>
      <w:r>
        <w:t xml:space="preserve"> </w:t>
      </w:r>
      <w:r w:rsidRPr="002301AE">
        <w:t>activities).</w:t>
      </w:r>
    </w:p>
    <w:p w:rsidR="00AE2A5A" w:rsidRDefault="00AE2A5A" w:rsidP="00AE2A5A">
      <w:r>
        <w:t xml:space="preserve">ESPON GEOSPECS has developed a nexus model for outermost regions linking defining features via intermediary process to development challenges and opportunities (see figure below).  </w:t>
      </w:r>
    </w:p>
    <w:p w:rsidR="00AE2A5A" w:rsidRPr="00B16E7C" w:rsidRDefault="00AE2A5A" w:rsidP="00AE2A5A">
      <w:r>
        <w:t xml:space="preserve">FIGURE – NEXUS MODEL OUTERMOST REGIONS </w:t>
      </w:r>
      <w:r w:rsidRPr="00B16E7C">
        <w:t>(ESPON GEOSPECS)</w:t>
      </w:r>
    </w:p>
    <w:p w:rsidR="00AE2A5A" w:rsidRPr="00D24CD6" w:rsidRDefault="00AE2A5A" w:rsidP="00AE2A5A">
      <w:pPr>
        <w:spacing w:after="0" w:line="240" w:lineRule="auto"/>
        <w:jc w:val="left"/>
        <w:rPr>
          <w:noProof/>
          <w:lang w:val="de-DE" w:eastAsia="de-DE"/>
        </w:rPr>
      </w:pPr>
      <w:r>
        <w:rPr>
          <w:noProof/>
          <w:lang w:val="en-US"/>
        </w:rPr>
        <w:drawing>
          <wp:inline distT="0" distB="0" distL="0" distR="0">
            <wp:extent cx="5274945" cy="2554600"/>
            <wp:effectExtent l="25400" t="0" r="8255"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74945" cy="2554600"/>
                    </a:xfrm>
                    <a:prstGeom prst="rect">
                      <a:avLst/>
                    </a:prstGeom>
                    <a:noFill/>
                    <a:ln w="9525">
                      <a:noFill/>
                      <a:miter lim="800000"/>
                      <a:headEnd/>
                      <a:tailEnd/>
                    </a:ln>
                  </pic:spPr>
                </pic:pic>
              </a:graphicData>
            </a:graphic>
          </wp:inline>
        </w:drawing>
      </w:r>
    </w:p>
    <w:p w:rsidR="00AE2A5A" w:rsidRDefault="00AE2A5A" w:rsidP="00AE2A5A">
      <w:pPr>
        <w:spacing w:after="0" w:line="240" w:lineRule="auto"/>
        <w:jc w:val="left"/>
        <w:rPr>
          <w:noProof/>
          <w:lang w:eastAsia="en-GB"/>
        </w:rPr>
      </w:pPr>
      <w:r>
        <w:rPr>
          <w:noProof/>
          <w:lang w:eastAsia="en-GB"/>
        </w:rP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A232A8">
        <w:rPr>
          <w:b/>
        </w:rPr>
        <w:t>Macronesia</w:t>
      </w:r>
    </w:p>
    <w:p w:rsidR="0089569C" w:rsidRDefault="0089569C" w:rsidP="0089569C">
      <w:pPr>
        <w:spacing w:after="0" w:line="240" w:lineRule="auto"/>
        <w:jc w:val="left"/>
        <w:rPr>
          <w:noProof/>
          <w:lang w:eastAsia="en-GB"/>
        </w:rPr>
      </w:pPr>
    </w:p>
    <w:p w:rsidR="0089569C" w:rsidRDefault="000D4122" w:rsidP="0089569C">
      <w:pPr>
        <w:spacing w:after="0" w:line="240" w:lineRule="auto"/>
        <w:jc w:val="left"/>
        <w:rPr>
          <w:noProof/>
          <w:lang w:eastAsia="en-GB"/>
        </w:rPr>
      </w:pPr>
      <w:r>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A232A8">
        <w:rPr>
          <w:b/>
        </w:rPr>
        <w:t>Macronesia</w:t>
      </w:r>
    </w:p>
    <w:p w:rsidR="00AB3D07" w:rsidRPr="00021CAB" w:rsidRDefault="00AB3D07" w:rsidP="00AB3D07">
      <w:pPr>
        <w:spacing w:after="240"/>
        <w:rPr>
          <w:i/>
        </w:rPr>
      </w:pPr>
      <w:r w:rsidRPr="00021CAB">
        <w:rPr>
          <w:i/>
        </w:rPr>
        <w:t>“Potential Accessibility Multimodal” scores accessibility of NUTS 3 regions by road, rail and air relative to the European average in an Accessibility Index.</w:t>
      </w:r>
    </w:p>
    <w:p w:rsidR="0089569C" w:rsidRDefault="00C41300" w:rsidP="0089569C">
      <w:pPr>
        <w:spacing w:after="0" w:line="240" w:lineRule="auto"/>
        <w:jc w:val="left"/>
        <w:rPr>
          <w:noProof/>
          <w:lang w:eastAsia="en-GB"/>
        </w:rPr>
      </w:pPr>
      <w:r>
        <w:rPr>
          <w:noProof/>
          <w:lang w:val="en-US"/>
        </w:rPr>
        <w:drawing>
          <wp:inline distT="0" distB="0" distL="0" distR="0">
            <wp:extent cx="5278755" cy="7444105"/>
            <wp:effectExtent l="19050" t="0" r="0" b="0"/>
            <wp:docPr id="21" name="Grafik 20"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AE2A5A" w:rsidP="0019394E">
      <w:pPr>
        <w:pStyle w:val="Heading1"/>
      </w:pPr>
      <w:r>
        <w:lastRenderedPageBreak/>
        <w:t>Recommended ESPON reading</w:t>
      </w:r>
    </w:p>
    <w:p w:rsidR="00AE2A5A" w:rsidRDefault="00AE2A5A" w:rsidP="00AE2A5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E2A5A" w:rsidRDefault="00AE2A5A" w:rsidP="00AE2A5A">
      <w:r>
        <w:t>The table below shows examples of relevant projects for the Cooperation Region. However, you have to study other ESPON reports as well in order to capitalise fully on the European information available for the transnational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b/>
                <w:sz w:val="16"/>
                <w:szCs w:val="20"/>
              </w:rPr>
            </w:pPr>
            <w:r w:rsidRPr="009B7152">
              <w:rPr>
                <w:b/>
                <w:sz w:val="16"/>
                <w:szCs w:val="20"/>
              </w:rPr>
              <w:t>ESPON study</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b/>
                <w:sz w:val="16"/>
                <w:szCs w:val="20"/>
              </w:rPr>
            </w:pPr>
            <w:r w:rsidRPr="009B7152">
              <w:rPr>
                <w:b/>
                <w:sz w:val="16"/>
                <w:szCs w:val="20"/>
              </w:rPr>
              <w:t>Topic</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b/>
                <w:sz w:val="16"/>
                <w:szCs w:val="18"/>
              </w:rPr>
            </w:pPr>
            <w:r w:rsidRPr="009B7152">
              <w:rPr>
                <w:b/>
                <w:sz w:val="16"/>
                <w:szCs w:val="18"/>
              </w:rPr>
              <w:t>Content</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 xml:space="preserve">EDORA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Rural areas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It provides evidence on the development opportunities of diverse types of European rural areas and reveals competitiveness options (see maps in Appendix 1).</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CLIMATE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Climate change</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It analyses how and to which degree climate change will impact on the competitiveness and cohesion of European regions and Europe as a whole (see from map 1 to 23).</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TIPTAP</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Territorial impact assessment</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 xml:space="preserve">It provides a tool for the ex-ante assessment of territorial impacts of policies to deliver evidence on the territorial impact of policies (see from map 2.3.1 to 2.3.9). </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 xml:space="preserve">CAEE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Agglomeration economies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 xml:space="preserve">It aims at a better understanding of the economic costs and benefits of large urban agglomerations (see figure 1). </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 xml:space="preserve">TRANSMEC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European cooperation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 xml:space="preserve">It develops a method providing guidance on how ESPON results can add value to support territorial cooperation programmes (see map 27 and from map 36 to 39 on potential accessibility indicators). The method is applied for the Northwest-Europe cooperation area. </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 xml:space="preserve">SEMIGRA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Rural migration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It identifies the main reasons and consequences of selective migration in rural regions in order to develop strategies for territorial development (see map 1, 4 and 5).</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KIT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Innovation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 xml:space="preserve">It describes patterns and potentials of regions in terms of knowledge and innovation economy and explores development opportunities (see from map 3.1.1 to 4.4.1). </w:t>
            </w:r>
          </w:p>
        </w:tc>
      </w:tr>
      <w:tr w:rsidR="00AE2A5A" w:rsidRPr="009B7152" w:rsidTr="007710C3">
        <w:trPr>
          <w:trHeight w:val="203"/>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jc w:val="left"/>
              <w:rPr>
                <w:sz w:val="16"/>
                <w:szCs w:val="18"/>
              </w:rPr>
            </w:pPr>
            <w:r w:rsidRPr="009B7152">
              <w:rPr>
                <w:sz w:val="16"/>
                <w:szCs w:val="18"/>
              </w:rPr>
              <w:t>SGPTD</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spacing w:after="0" w:line="20" w:lineRule="atLeast"/>
              <w:rPr>
                <w:sz w:val="16"/>
                <w:szCs w:val="18"/>
              </w:rPr>
            </w:pPr>
            <w:r w:rsidRPr="009B7152">
              <w:rPr>
                <w:sz w:val="16"/>
                <w:szCs w:val="18"/>
              </w:rPr>
              <w:t>Growth poles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E2A5A" w:rsidRPr="009B7152" w:rsidRDefault="00AE2A5A" w:rsidP="007710C3">
            <w:pPr>
              <w:pStyle w:val="ListParagraph"/>
              <w:spacing w:after="0" w:line="20" w:lineRule="atLeast"/>
              <w:ind w:left="0"/>
              <w:rPr>
                <w:sz w:val="16"/>
                <w:szCs w:val="18"/>
              </w:rPr>
            </w:pPr>
            <w:r w:rsidRPr="009B7152">
              <w:rPr>
                <w:sz w:val="16"/>
                <w:szCs w:val="18"/>
              </w:rPr>
              <w:t>It provides evidence about performance and roles of European secondary cities (see from figure 2 to 2.12 t).</w:t>
            </w:r>
          </w:p>
        </w:tc>
      </w:tr>
      <w:tr w:rsidR="00AE2A5A" w:rsidRPr="009B7152" w:rsidTr="007710C3">
        <w:trPr>
          <w:trHeight w:val="864"/>
        </w:trPr>
        <w:tc>
          <w:tcPr>
            <w:tcW w:w="1276" w:type="dxa"/>
            <w:shd w:val="clear" w:color="auto" w:fill="FFFFFF" w:themeFill="background1"/>
          </w:tcPr>
          <w:p w:rsidR="00AE2A5A" w:rsidRPr="009B7152" w:rsidRDefault="00AE2A5A" w:rsidP="007710C3">
            <w:pPr>
              <w:spacing w:after="0" w:line="20" w:lineRule="atLeast"/>
              <w:jc w:val="left"/>
              <w:rPr>
                <w:sz w:val="16"/>
                <w:szCs w:val="18"/>
              </w:rPr>
            </w:pPr>
            <w:r w:rsidRPr="009B7152">
              <w:rPr>
                <w:sz w:val="16"/>
                <w:szCs w:val="18"/>
              </w:rPr>
              <w:t>GEOSPECS</w:t>
            </w:r>
          </w:p>
        </w:tc>
        <w:tc>
          <w:tcPr>
            <w:tcW w:w="1418" w:type="dxa"/>
            <w:shd w:val="clear" w:color="auto" w:fill="FFFFFF" w:themeFill="background1"/>
          </w:tcPr>
          <w:p w:rsidR="00AE2A5A" w:rsidRPr="009B7152" w:rsidRDefault="00AE2A5A" w:rsidP="007710C3">
            <w:pPr>
              <w:spacing w:after="0" w:line="20" w:lineRule="atLeast"/>
              <w:jc w:val="left"/>
              <w:rPr>
                <w:sz w:val="16"/>
                <w:szCs w:val="18"/>
              </w:rPr>
            </w:pPr>
            <w:r w:rsidRPr="009B7152">
              <w:rPr>
                <w:sz w:val="16"/>
                <w:szCs w:val="18"/>
              </w:rPr>
              <w:t>Specific types of territories</w:t>
            </w:r>
          </w:p>
        </w:tc>
        <w:tc>
          <w:tcPr>
            <w:tcW w:w="5670" w:type="dxa"/>
            <w:shd w:val="clear" w:color="auto" w:fill="FFFFFF" w:themeFill="background1"/>
          </w:tcPr>
          <w:p w:rsidR="00AE2A5A" w:rsidRPr="009B7152" w:rsidRDefault="00AE2A5A" w:rsidP="007710C3">
            <w:pPr>
              <w:spacing w:after="0" w:line="20" w:lineRule="atLeast"/>
              <w:rPr>
                <w:sz w:val="16"/>
                <w:szCs w:val="18"/>
              </w:rPr>
            </w:pPr>
            <w:r w:rsidRPr="009B7152">
              <w:rPr>
                <w:sz w:val="16"/>
                <w:szCs w:val="18"/>
              </w:rPr>
              <w:t xml:space="preserve">It provides evidence on the strength, weaknesses and development opportunities of specific types of territories and regions (e.g. border areas, highly or sparsely populated areas). It includes a case study on </w:t>
            </w:r>
            <w:r>
              <w:rPr>
                <w:sz w:val="16"/>
                <w:szCs w:val="18"/>
              </w:rPr>
              <w:t>the Canary Islands</w:t>
            </w:r>
            <w:r w:rsidRPr="009B7152">
              <w:rPr>
                <w:sz w:val="16"/>
                <w:szCs w:val="18"/>
              </w:rPr>
              <w:t xml:space="preserve"> in the </w:t>
            </w:r>
            <w:r>
              <w:rPr>
                <w:sz w:val="16"/>
                <w:szCs w:val="18"/>
              </w:rPr>
              <w:t xml:space="preserve">Scientific Report. </w:t>
            </w:r>
            <w:r w:rsidRPr="009B7152">
              <w:rPr>
                <w:sz w:val="16"/>
                <w:szCs w:val="18"/>
              </w:rPr>
              <w:t xml:space="preserve"> </w:t>
            </w:r>
          </w:p>
        </w:tc>
      </w:tr>
    </w:tbl>
    <w:p w:rsidR="00AE2A5A" w:rsidRDefault="00AE2A5A" w:rsidP="00AE2A5A">
      <w:r>
        <w:br/>
        <w:t>Furthermore, some of overall ESPON products of particular interest for territorial cooperation are:</w:t>
      </w:r>
    </w:p>
    <w:p w:rsidR="00AE2A5A" w:rsidRDefault="00AE2A5A" w:rsidP="00AE2A5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E2A5A" w:rsidRDefault="00AE2A5A" w:rsidP="00AE2A5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E2A5A" w:rsidRPr="00A33083" w:rsidRDefault="00AE2A5A" w:rsidP="00AE2A5A">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AE2A5A" w:rsidRDefault="00AE2A5A" w:rsidP="00AE2A5A">
      <w:pPr>
        <w:pStyle w:val="ListParagraph"/>
        <w:numPr>
          <w:ilvl w:val="0"/>
          <w:numId w:val="4"/>
        </w:numPr>
      </w:pPr>
      <w:r w:rsidRPr="00112693">
        <w:rPr>
          <w:b/>
        </w:rPr>
        <w:t>ESPON Hyperaltas</w:t>
      </w:r>
      <w:r w:rsidRPr="000B4718">
        <w:t xml:space="preserve"> </w:t>
      </w:r>
      <w:r>
        <w:t xml:space="preserve">allows </w:t>
      </w:r>
      <w:r w:rsidR="00177A9B">
        <w:t>comparing and analysing</w:t>
      </w:r>
      <w:r>
        <w:t xml:space="preserve"> a</w:t>
      </w:r>
      <w:r w:rsidRPr="000B4718">
        <w:t xml:space="preserve"> region’s relative position at European, national and local scale for a </w:t>
      </w:r>
      <w:r>
        <w:t>wide range of</w:t>
      </w:r>
      <w:r w:rsidRPr="000B4718">
        <w:t xml:space="preserve"> criteria.</w:t>
      </w:r>
    </w:p>
    <w:p w:rsidR="00AE2A5A" w:rsidRPr="00CD642B" w:rsidRDefault="00AE2A5A" w:rsidP="00AE2A5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E2A5A" w:rsidRDefault="00AE2A5A" w:rsidP="00AE2A5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E2A5A" w:rsidRPr="00F92386" w:rsidRDefault="00AE2A5A" w:rsidP="00AE2A5A">
      <w:pPr>
        <w:jc w:val="center"/>
      </w:pPr>
      <w:r w:rsidRPr="00CD642B">
        <w:t>All ESPON reports and tools are freely available at</w:t>
      </w:r>
      <w:r>
        <w:br/>
      </w:r>
      <w:r w:rsidRPr="00CD642B">
        <w:rPr>
          <w:b/>
        </w:rPr>
        <w:t>www.espon.eu</w:t>
      </w:r>
    </w:p>
    <w:p w:rsidR="00AE2A5A" w:rsidRPr="00AE2A5A" w:rsidRDefault="00AE2A5A" w:rsidP="00AE2A5A"/>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7017CE" w:rsidRPr="007017CE">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CC47B5" w:rsidRDefault="00CC47B5" w:rsidP="00BC65E1">
                  <w:pPr>
                    <w:rPr>
                      <w:rFonts w:ascii="Arial" w:hAnsi="Arial" w:cs="Arial"/>
                      <w:szCs w:val="20"/>
                    </w:rPr>
                  </w:pPr>
                </w:p>
              </w:txbxContent>
            </v:textbox>
          </v:shape>
        </w:pict>
      </w:r>
      <w:r w:rsidR="007017CE" w:rsidRPr="007017CE">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CC47B5" w:rsidRPr="00FB783A" w:rsidRDefault="00CC47B5"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F6F" w:rsidRDefault="00791F6F">
      <w:r>
        <w:separator/>
      </w:r>
    </w:p>
  </w:endnote>
  <w:endnote w:type="continuationSeparator" w:id="0">
    <w:p w:rsidR="00791F6F" w:rsidRDefault="00791F6F">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7017CE" w:rsidP="00BC65E1">
    <w:pPr>
      <w:framePr w:wrap="around" w:vAnchor="text" w:hAnchor="margin" w:xAlign="right" w:y="1"/>
      <w:rPr>
        <w:rStyle w:val="PageNumber"/>
      </w:rPr>
    </w:pPr>
    <w:r>
      <w:rPr>
        <w:rStyle w:val="PageNumber"/>
      </w:rPr>
      <w:fldChar w:fldCharType="begin"/>
    </w:r>
    <w:r w:rsidR="00CC47B5">
      <w:rPr>
        <w:rStyle w:val="PageNumber"/>
      </w:rPr>
      <w:instrText xml:space="preserve">PAGE  </w:instrText>
    </w:r>
    <w:r>
      <w:rPr>
        <w:rStyle w:val="PageNumber"/>
      </w:rPr>
      <w:fldChar w:fldCharType="separate"/>
    </w:r>
    <w:r w:rsidR="00CC47B5">
      <w:rPr>
        <w:rStyle w:val="PageNumber"/>
        <w:noProof/>
      </w:rPr>
      <w:t>3</w:t>
    </w:r>
    <w:r>
      <w:rPr>
        <w:rStyle w:val="PageNumber"/>
      </w:rPr>
      <w:fldChar w:fldCharType="end"/>
    </w:r>
  </w:p>
  <w:p w:rsidR="00CC47B5" w:rsidRDefault="00CC47B5">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7017CE"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1754B1">
      <w:rPr>
        <w:rStyle w:val="PageNumber"/>
        <w:noProof/>
        <w:szCs w:val="20"/>
      </w:rPr>
      <w:t>1</w:t>
    </w:r>
    <w:r w:rsidRPr="00A15B61">
      <w:rPr>
        <w:rStyle w:val="PageNumber"/>
        <w:szCs w:val="20"/>
      </w:rPr>
      <w:fldChar w:fldCharType="end"/>
    </w:r>
  </w:p>
  <w:p w:rsidR="00CC47B5" w:rsidRPr="00A15B61" w:rsidRDefault="00CC47B5"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Pr="00A15B61" w:rsidRDefault="007017CE" w:rsidP="00BC65E1">
    <w:pPr>
      <w:pStyle w:val="Footer"/>
      <w:framePr w:wrap="around" w:vAnchor="text" w:hAnchor="margin" w:xAlign="right" w:y="1"/>
      <w:rPr>
        <w:rStyle w:val="PageNumber"/>
      </w:rPr>
    </w:pPr>
    <w:r w:rsidRPr="00A15B61">
      <w:rPr>
        <w:rStyle w:val="PageNumber"/>
        <w:szCs w:val="20"/>
      </w:rPr>
      <w:fldChar w:fldCharType="begin"/>
    </w:r>
    <w:r w:rsidR="00CC47B5">
      <w:rPr>
        <w:rStyle w:val="PageNumber"/>
        <w:szCs w:val="20"/>
      </w:rPr>
      <w:instrText>PAGE</w:instrText>
    </w:r>
    <w:r w:rsidR="00CC47B5" w:rsidRPr="00A15B61">
      <w:rPr>
        <w:rStyle w:val="PageNumber"/>
        <w:szCs w:val="20"/>
      </w:rPr>
      <w:instrText xml:space="preserve">  </w:instrText>
    </w:r>
    <w:r w:rsidRPr="00A15B61">
      <w:rPr>
        <w:rStyle w:val="PageNumber"/>
        <w:szCs w:val="20"/>
      </w:rPr>
      <w:fldChar w:fldCharType="separate"/>
    </w:r>
    <w:r w:rsidR="001754B1">
      <w:rPr>
        <w:rStyle w:val="PageNumber"/>
        <w:noProof/>
        <w:szCs w:val="20"/>
      </w:rPr>
      <w:t>14</w:t>
    </w:r>
    <w:r w:rsidRPr="00A15B61">
      <w:rPr>
        <w:rStyle w:val="PageNumber"/>
        <w:szCs w:val="20"/>
      </w:rPr>
      <w:fldChar w:fldCharType="end"/>
    </w:r>
  </w:p>
  <w:p w:rsidR="00CC47B5" w:rsidRPr="00A15B61" w:rsidRDefault="00CC47B5"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F6F" w:rsidRDefault="00791F6F">
      <w:r>
        <w:separator/>
      </w:r>
    </w:p>
  </w:footnote>
  <w:footnote w:type="continuationSeparator" w:id="0">
    <w:p w:rsidR="00791F6F" w:rsidRDefault="00791F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7017CE">
    <w:pPr>
      <w:pStyle w:val="Header"/>
    </w:pPr>
    <w:r w:rsidRPr="007017CE">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CC47B5" w:rsidRDefault="00CC47B5"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CC47B5" w:rsidRPr="00721B03" w:rsidRDefault="00CC47B5"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CC47B5">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7B5" w:rsidRDefault="00CC47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0B7"/>
    <w:rsid w:val="00016919"/>
    <w:rsid w:val="000172BC"/>
    <w:rsid w:val="00020978"/>
    <w:rsid w:val="0002197F"/>
    <w:rsid w:val="00021A06"/>
    <w:rsid w:val="00030CE4"/>
    <w:rsid w:val="00031AEC"/>
    <w:rsid w:val="00032745"/>
    <w:rsid w:val="00034626"/>
    <w:rsid w:val="00036BAE"/>
    <w:rsid w:val="00037716"/>
    <w:rsid w:val="00041991"/>
    <w:rsid w:val="00041A22"/>
    <w:rsid w:val="0004221D"/>
    <w:rsid w:val="00043F45"/>
    <w:rsid w:val="00050AB6"/>
    <w:rsid w:val="000527DC"/>
    <w:rsid w:val="00054E00"/>
    <w:rsid w:val="00055A97"/>
    <w:rsid w:val="000576BC"/>
    <w:rsid w:val="00061CE3"/>
    <w:rsid w:val="00063161"/>
    <w:rsid w:val="00064853"/>
    <w:rsid w:val="000664C7"/>
    <w:rsid w:val="00072557"/>
    <w:rsid w:val="00073957"/>
    <w:rsid w:val="00073BFF"/>
    <w:rsid w:val="000757CA"/>
    <w:rsid w:val="00077C32"/>
    <w:rsid w:val="000812A6"/>
    <w:rsid w:val="00083607"/>
    <w:rsid w:val="00085BAD"/>
    <w:rsid w:val="00086387"/>
    <w:rsid w:val="0009016A"/>
    <w:rsid w:val="000A0B9B"/>
    <w:rsid w:val="000A0F69"/>
    <w:rsid w:val="000A647A"/>
    <w:rsid w:val="000B3819"/>
    <w:rsid w:val="000B4718"/>
    <w:rsid w:val="000B58AA"/>
    <w:rsid w:val="000B7A7D"/>
    <w:rsid w:val="000B7F4E"/>
    <w:rsid w:val="000C36A1"/>
    <w:rsid w:val="000C4070"/>
    <w:rsid w:val="000C716F"/>
    <w:rsid w:val="000D0D18"/>
    <w:rsid w:val="000D11C2"/>
    <w:rsid w:val="000D4122"/>
    <w:rsid w:val="000D57C9"/>
    <w:rsid w:val="000D6C64"/>
    <w:rsid w:val="000D7CC4"/>
    <w:rsid w:val="000E592C"/>
    <w:rsid w:val="000E6CC8"/>
    <w:rsid w:val="000E76EB"/>
    <w:rsid w:val="000F1BA2"/>
    <w:rsid w:val="000F2140"/>
    <w:rsid w:val="000F4706"/>
    <w:rsid w:val="00105B9D"/>
    <w:rsid w:val="001120BB"/>
    <w:rsid w:val="00112693"/>
    <w:rsid w:val="00122A0A"/>
    <w:rsid w:val="001245F9"/>
    <w:rsid w:val="00124BDE"/>
    <w:rsid w:val="0012533B"/>
    <w:rsid w:val="001260F4"/>
    <w:rsid w:val="00127104"/>
    <w:rsid w:val="00133602"/>
    <w:rsid w:val="00134DC7"/>
    <w:rsid w:val="0013600B"/>
    <w:rsid w:val="00150A5A"/>
    <w:rsid w:val="00150FCB"/>
    <w:rsid w:val="00151954"/>
    <w:rsid w:val="00151C31"/>
    <w:rsid w:val="00152974"/>
    <w:rsid w:val="00153108"/>
    <w:rsid w:val="001561ED"/>
    <w:rsid w:val="0015691A"/>
    <w:rsid w:val="00162FF6"/>
    <w:rsid w:val="0016435C"/>
    <w:rsid w:val="00172B99"/>
    <w:rsid w:val="001754B1"/>
    <w:rsid w:val="00177A9B"/>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15B37"/>
    <w:rsid w:val="0022077E"/>
    <w:rsid w:val="00220A8C"/>
    <w:rsid w:val="002214A4"/>
    <w:rsid w:val="00221A45"/>
    <w:rsid w:val="00223DE3"/>
    <w:rsid w:val="002250F3"/>
    <w:rsid w:val="00227652"/>
    <w:rsid w:val="002363BC"/>
    <w:rsid w:val="002371D8"/>
    <w:rsid w:val="00237808"/>
    <w:rsid w:val="0023799F"/>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780D"/>
    <w:rsid w:val="002D1443"/>
    <w:rsid w:val="002D3185"/>
    <w:rsid w:val="002D429C"/>
    <w:rsid w:val="002D5B13"/>
    <w:rsid w:val="002E0490"/>
    <w:rsid w:val="002E20E5"/>
    <w:rsid w:val="002E3524"/>
    <w:rsid w:val="002E529A"/>
    <w:rsid w:val="002E619E"/>
    <w:rsid w:val="002F1D75"/>
    <w:rsid w:val="002F4B38"/>
    <w:rsid w:val="002F713F"/>
    <w:rsid w:val="00303833"/>
    <w:rsid w:val="00304555"/>
    <w:rsid w:val="003052B2"/>
    <w:rsid w:val="0030699A"/>
    <w:rsid w:val="003203A3"/>
    <w:rsid w:val="003216C2"/>
    <w:rsid w:val="00322B33"/>
    <w:rsid w:val="003253E2"/>
    <w:rsid w:val="003351B4"/>
    <w:rsid w:val="00337519"/>
    <w:rsid w:val="00337872"/>
    <w:rsid w:val="00344591"/>
    <w:rsid w:val="00351255"/>
    <w:rsid w:val="00351563"/>
    <w:rsid w:val="003517DA"/>
    <w:rsid w:val="003526D5"/>
    <w:rsid w:val="00352B1D"/>
    <w:rsid w:val="00352C67"/>
    <w:rsid w:val="00352D76"/>
    <w:rsid w:val="00353B5C"/>
    <w:rsid w:val="00353E8C"/>
    <w:rsid w:val="0035504D"/>
    <w:rsid w:val="003608BA"/>
    <w:rsid w:val="00362CD8"/>
    <w:rsid w:val="00362D4C"/>
    <w:rsid w:val="00371DBA"/>
    <w:rsid w:val="0037440D"/>
    <w:rsid w:val="00376B51"/>
    <w:rsid w:val="0037764A"/>
    <w:rsid w:val="00381B03"/>
    <w:rsid w:val="00384F28"/>
    <w:rsid w:val="003860B2"/>
    <w:rsid w:val="00387A8F"/>
    <w:rsid w:val="00391559"/>
    <w:rsid w:val="00391CD5"/>
    <w:rsid w:val="0039373B"/>
    <w:rsid w:val="00394068"/>
    <w:rsid w:val="00396D72"/>
    <w:rsid w:val="00397CB9"/>
    <w:rsid w:val="003A016A"/>
    <w:rsid w:val="003A1847"/>
    <w:rsid w:val="003A27BC"/>
    <w:rsid w:val="003A2F36"/>
    <w:rsid w:val="003B0962"/>
    <w:rsid w:val="003B21D4"/>
    <w:rsid w:val="003C112D"/>
    <w:rsid w:val="003C261B"/>
    <w:rsid w:val="003C354A"/>
    <w:rsid w:val="003C3688"/>
    <w:rsid w:val="003C5D09"/>
    <w:rsid w:val="003D126B"/>
    <w:rsid w:val="003D2A84"/>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604E"/>
    <w:rsid w:val="00447210"/>
    <w:rsid w:val="00452144"/>
    <w:rsid w:val="00454825"/>
    <w:rsid w:val="00456E90"/>
    <w:rsid w:val="004604F3"/>
    <w:rsid w:val="0046572E"/>
    <w:rsid w:val="00467598"/>
    <w:rsid w:val="00470A8B"/>
    <w:rsid w:val="00472744"/>
    <w:rsid w:val="00473131"/>
    <w:rsid w:val="00475DCB"/>
    <w:rsid w:val="004773DD"/>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2E09"/>
    <w:rsid w:val="004C4307"/>
    <w:rsid w:val="004C462E"/>
    <w:rsid w:val="004C71AB"/>
    <w:rsid w:val="004D2437"/>
    <w:rsid w:val="004D6E70"/>
    <w:rsid w:val="004E11D0"/>
    <w:rsid w:val="004E20E6"/>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10DAB"/>
    <w:rsid w:val="0061660C"/>
    <w:rsid w:val="006166FD"/>
    <w:rsid w:val="00616DE9"/>
    <w:rsid w:val="0061757F"/>
    <w:rsid w:val="006326AB"/>
    <w:rsid w:val="00633FE2"/>
    <w:rsid w:val="0063504F"/>
    <w:rsid w:val="00643649"/>
    <w:rsid w:val="006441ED"/>
    <w:rsid w:val="00645CD2"/>
    <w:rsid w:val="0065085F"/>
    <w:rsid w:val="00654361"/>
    <w:rsid w:val="0065695B"/>
    <w:rsid w:val="00657472"/>
    <w:rsid w:val="00657A40"/>
    <w:rsid w:val="00657E48"/>
    <w:rsid w:val="00660A8B"/>
    <w:rsid w:val="0066206E"/>
    <w:rsid w:val="006625D1"/>
    <w:rsid w:val="0066301D"/>
    <w:rsid w:val="00664ACE"/>
    <w:rsid w:val="00664B05"/>
    <w:rsid w:val="006743AD"/>
    <w:rsid w:val="00677B8D"/>
    <w:rsid w:val="0068242A"/>
    <w:rsid w:val="00682613"/>
    <w:rsid w:val="00682B57"/>
    <w:rsid w:val="006847A3"/>
    <w:rsid w:val="00690277"/>
    <w:rsid w:val="0069219F"/>
    <w:rsid w:val="00695762"/>
    <w:rsid w:val="0069624A"/>
    <w:rsid w:val="006A17A6"/>
    <w:rsid w:val="006A30AF"/>
    <w:rsid w:val="006A5610"/>
    <w:rsid w:val="006A5F96"/>
    <w:rsid w:val="006A7FE2"/>
    <w:rsid w:val="006B1170"/>
    <w:rsid w:val="006B48FD"/>
    <w:rsid w:val="006B59A1"/>
    <w:rsid w:val="006C4740"/>
    <w:rsid w:val="006C481B"/>
    <w:rsid w:val="006C73A6"/>
    <w:rsid w:val="006D18CA"/>
    <w:rsid w:val="006D1D59"/>
    <w:rsid w:val="006D3D3E"/>
    <w:rsid w:val="006D44BA"/>
    <w:rsid w:val="006D5157"/>
    <w:rsid w:val="006D5350"/>
    <w:rsid w:val="006D6890"/>
    <w:rsid w:val="006E1A6B"/>
    <w:rsid w:val="006E4366"/>
    <w:rsid w:val="006E4FEA"/>
    <w:rsid w:val="006E5E38"/>
    <w:rsid w:val="006E618B"/>
    <w:rsid w:val="006F0BC4"/>
    <w:rsid w:val="006F17FA"/>
    <w:rsid w:val="006F222E"/>
    <w:rsid w:val="006F49F1"/>
    <w:rsid w:val="006F4E16"/>
    <w:rsid w:val="007017CE"/>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470A"/>
    <w:rsid w:val="007456E2"/>
    <w:rsid w:val="00747707"/>
    <w:rsid w:val="00753769"/>
    <w:rsid w:val="00761029"/>
    <w:rsid w:val="0076148F"/>
    <w:rsid w:val="00765166"/>
    <w:rsid w:val="007656EC"/>
    <w:rsid w:val="00770B59"/>
    <w:rsid w:val="00771219"/>
    <w:rsid w:val="00771843"/>
    <w:rsid w:val="0077695D"/>
    <w:rsid w:val="007776A6"/>
    <w:rsid w:val="0078171A"/>
    <w:rsid w:val="00782183"/>
    <w:rsid w:val="007831EE"/>
    <w:rsid w:val="00783B76"/>
    <w:rsid w:val="00783F35"/>
    <w:rsid w:val="007842F4"/>
    <w:rsid w:val="007858E5"/>
    <w:rsid w:val="00787861"/>
    <w:rsid w:val="00791D68"/>
    <w:rsid w:val="00791F6F"/>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D1031"/>
    <w:rsid w:val="007E2555"/>
    <w:rsid w:val="007E3756"/>
    <w:rsid w:val="007F16DF"/>
    <w:rsid w:val="007F2A06"/>
    <w:rsid w:val="007F5973"/>
    <w:rsid w:val="008044DD"/>
    <w:rsid w:val="00804BA1"/>
    <w:rsid w:val="00805E5D"/>
    <w:rsid w:val="00812490"/>
    <w:rsid w:val="00812ECD"/>
    <w:rsid w:val="008132AD"/>
    <w:rsid w:val="00823513"/>
    <w:rsid w:val="0082390C"/>
    <w:rsid w:val="00823FCF"/>
    <w:rsid w:val="00827112"/>
    <w:rsid w:val="00827496"/>
    <w:rsid w:val="008321A8"/>
    <w:rsid w:val="00835D9A"/>
    <w:rsid w:val="00835EF3"/>
    <w:rsid w:val="008374BC"/>
    <w:rsid w:val="008419E4"/>
    <w:rsid w:val="00844319"/>
    <w:rsid w:val="008454F5"/>
    <w:rsid w:val="00846CF1"/>
    <w:rsid w:val="00847741"/>
    <w:rsid w:val="00850DA1"/>
    <w:rsid w:val="00855241"/>
    <w:rsid w:val="008555CF"/>
    <w:rsid w:val="00856EFD"/>
    <w:rsid w:val="00857F3C"/>
    <w:rsid w:val="0087047D"/>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01FE"/>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2110"/>
    <w:rsid w:val="0093778A"/>
    <w:rsid w:val="0094026B"/>
    <w:rsid w:val="0094059F"/>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F21F0"/>
    <w:rsid w:val="009F2583"/>
    <w:rsid w:val="009F3C35"/>
    <w:rsid w:val="009F3D83"/>
    <w:rsid w:val="009F682E"/>
    <w:rsid w:val="009F7417"/>
    <w:rsid w:val="009F77A8"/>
    <w:rsid w:val="00A02FD6"/>
    <w:rsid w:val="00A12916"/>
    <w:rsid w:val="00A13E7F"/>
    <w:rsid w:val="00A14BAC"/>
    <w:rsid w:val="00A15B61"/>
    <w:rsid w:val="00A16062"/>
    <w:rsid w:val="00A2166F"/>
    <w:rsid w:val="00A21C1D"/>
    <w:rsid w:val="00A232A8"/>
    <w:rsid w:val="00A24B55"/>
    <w:rsid w:val="00A265BE"/>
    <w:rsid w:val="00A304AA"/>
    <w:rsid w:val="00A31617"/>
    <w:rsid w:val="00A33083"/>
    <w:rsid w:val="00A37956"/>
    <w:rsid w:val="00A413E0"/>
    <w:rsid w:val="00A433AA"/>
    <w:rsid w:val="00A447B6"/>
    <w:rsid w:val="00A44D2B"/>
    <w:rsid w:val="00A457AA"/>
    <w:rsid w:val="00A46196"/>
    <w:rsid w:val="00A47168"/>
    <w:rsid w:val="00A53CF7"/>
    <w:rsid w:val="00A55855"/>
    <w:rsid w:val="00A61620"/>
    <w:rsid w:val="00A62876"/>
    <w:rsid w:val="00A6523E"/>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3D07"/>
    <w:rsid w:val="00AB5BB9"/>
    <w:rsid w:val="00AB6431"/>
    <w:rsid w:val="00AB762C"/>
    <w:rsid w:val="00AC1484"/>
    <w:rsid w:val="00AC3144"/>
    <w:rsid w:val="00AC52D7"/>
    <w:rsid w:val="00AC55B7"/>
    <w:rsid w:val="00AC7369"/>
    <w:rsid w:val="00AD1095"/>
    <w:rsid w:val="00AD5E29"/>
    <w:rsid w:val="00AD6766"/>
    <w:rsid w:val="00AE2A5A"/>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3B1B"/>
    <w:rsid w:val="00B45029"/>
    <w:rsid w:val="00B45A0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2E65"/>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01D"/>
    <w:rsid w:val="00C00C96"/>
    <w:rsid w:val="00C019EF"/>
    <w:rsid w:val="00C033E5"/>
    <w:rsid w:val="00C04A1F"/>
    <w:rsid w:val="00C04A31"/>
    <w:rsid w:val="00C0554A"/>
    <w:rsid w:val="00C0732F"/>
    <w:rsid w:val="00C1059F"/>
    <w:rsid w:val="00C11D58"/>
    <w:rsid w:val="00C13A33"/>
    <w:rsid w:val="00C1408A"/>
    <w:rsid w:val="00C160A4"/>
    <w:rsid w:val="00C25CB5"/>
    <w:rsid w:val="00C26F3B"/>
    <w:rsid w:val="00C27E31"/>
    <w:rsid w:val="00C30BF8"/>
    <w:rsid w:val="00C32582"/>
    <w:rsid w:val="00C33A99"/>
    <w:rsid w:val="00C34A6E"/>
    <w:rsid w:val="00C41300"/>
    <w:rsid w:val="00C421CA"/>
    <w:rsid w:val="00C4344F"/>
    <w:rsid w:val="00C46385"/>
    <w:rsid w:val="00C5084D"/>
    <w:rsid w:val="00C508D6"/>
    <w:rsid w:val="00C51A75"/>
    <w:rsid w:val="00C5255D"/>
    <w:rsid w:val="00C5462E"/>
    <w:rsid w:val="00C600DD"/>
    <w:rsid w:val="00C603EB"/>
    <w:rsid w:val="00C606EA"/>
    <w:rsid w:val="00C664BB"/>
    <w:rsid w:val="00C675CC"/>
    <w:rsid w:val="00C7069F"/>
    <w:rsid w:val="00C71718"/>
    <w:rsid w:val="00C7538F"/>
    <w:rsid w:val="00C76A20"/>
    <w:rsid w:val="00C77C7E"/>
    <w:rsid w:val="00C77D2A"/>
    <w:rsid w:val="00C809FF"/>
    <w:rsid w:val="00C85C5A"/>
    <w:rsid w:val="00C87D01"/>
    <w:rsid w:val="00C9580A"/>
    <w:rsid w:val="00C9704F"/>
    <w:rsid w:val="00CA3C33"/>
    <w:rsid w:val="00CA40C7"/>
    <w:rsid w:val="00CA4181"/>
    <w:rsid w:val="00CA4369"/>
    <w:rsid w:val="00CA6583"/>
    <w:rsid w:val="00CB23CC"/>
    <w:rsid w:val="00CB28C9"/>
    <w:rsid w:val="00CB672B"/>
    <w:rsid w:val="00CB7211"/>
    <w:rsid w:val="00CC1A98"/>
    <w:rsid w:val="00CC47B5"/>
    <w:rsid w:val="00CC6723"/>
    <w:rsid w:val="00CC7EC5"/>
    <w:rsid w:val="00CD0661"/>
    <w:rsid w:val="00CD45BE"/>
    <w:rsid w:val="00CD642B"/>
    <w:rsid w:val="00CD6A77"/>
    <w:rsid w:val="00CD6FEB"/>
    <w:rsid w:val="00CE61D3"/>
    <w:rsid w:val="00CE67DD"/>
    <w:rsid w:val="00CF4683"/>
    <w:rsid w:val="00CF525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270C9"/>
    <w:rsid w:val="00D318F2"/>
    <w:rsid w:val="00D32EA8"/>
    <w:rsid w:val="00D401D5"/>
    <w:rsid w:val="00D41605"/>
    <w:rsid w:val="00D42ABD"/>
    <w:rsid w:val="00D42E31"/>
    <w:rsid w:val="00D42EB6"/>
    <w:rsid w:val="00D44315"/>
    <w:rsid w:val="00D44FB6"/>
    <w:rsid w:val="00D47BAC"/>
    <w:rsid w:val="00D510B6"/>
    <w:rsid w:val="00D515B8"/>
    <w:rsid w:val="00D51F83"/>
    <w:rsid w:val="00D52B90"/>
    <w:rsid w:val="00D52DB1"/>
    <w:rsid w:val="00D53299"/>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3CEC"/>
    <w:rsid w:val="00DB4000"/>
    <w:rsid w:val="00DB42BD"/>
    <w:rsid w:val="00DB605C"/>
    <w:rsid w:val="00DC0823"/>
    <w:rsid w:val="00DC21BC"/>
    <w:rsid w:val="00DC3E4C"/>
    <w:rsid w:val="00DC55C7"/>
    <w:rsid w:val="00DC60A4"/>
    <w:rsid w:val="00DC6422"/>
    <w:rsid w:val="00DD0539"/>
    <w:rsid w:val="00DE0D99"/>
    <w:rsid w:val="00DE584B"/>
    <w:rsid w:val="00DF22D8"/>
    <w:rsid w:val="00DF76E3"/>
    <w:rsid w:val="00E02024"/>
    <w:rsid w:val="00E03013"/>
    <w:rsid w:val="00E03104"/>
    <w:rsid w:val="00E03ABA"/>
    <w:rsid w:val="00E04EC2"/>
    <w:rsid w:val="00E07A32"/>
    <w:rsid w:val="00E10213"/>
    <w:rsid w:val="00E108F5"/>
    <w:rsid w:val="00E11808"/>
    <w:rsid w:val="00E1287C"/>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5F2E"/>
    <w:rsid w:val="00E766D1"/>
    <w:rsid w:val="00E77F26"/>
    <w:rsid w:val="00E83787"/>
    <w:rsid w:val="00E855FF"/>
    <w:rsid w:val="00E97A65"/>
    <w:rsid w:val="00EA0966"/>
    <w:rsid w:val="00EA0FFC"/>
    <w:rsid w:val="00EA337F"/>
    <w:rsid w:val="00EA5A90"/>
    <w:rsid w:val="00EB092A"/>
    <w:rsid w:val="00EB1FF2"/>
    <w:rsid w:val="00EB5C7F"/>
    <w:rsid w:val="00EB6387"/>
    <w:rsid w:val="00EB7D50"/>
    <w:rsid w:val="00EC4562"/>
    <w:rsid w:val="00EC6878"/>
    <w:rsid w:val="00ED077F"/>
    <w:rsid w:val="00ED236B"/>
    <w:rsid w:val="00ED58B7"/>
    <w:rsid w:val="00ED5923"/>
    <w:rsid w:val="00ED646D"/>
    <w:rsid w:val="00EE082D"/>
    <w:rsid w:val="00EE2B02"/>
    <w:rsid w:val="00EE31B3"/>
    <w:rsid w:val="00EE472A"/>
    <w:rsid w:val="00EF11A3"/>
    <w:rsid w:val="00EF6DEE"/>
    <w:rsid w:val="00F023B8"/>
    <w:rsid w:val="00F11DC3"/>
    <w:rsid w:val="00F124B4"/>
    <w:rsid w:val="00F20E21"/>
    <w:rsid w:val="00F212C3"/>
    <w:rsid w:val="00F252AD"/>
    <w:rsid w:val="00F320EF"/>
    <w:rsid w:val="00F3218A"/>
    <w:rsid w:val="00F34787"/>
    <w:rsid w:val="00F358CB"/>
    <w:rsid w:val="00F405D2"/>
    <w:rsid w:val="00F47743"/>
    <w:rsid w:val="00F519FB"/>
    <w:rsid w:val="00F52D42"/>
    <w:rsid w:val="00F54E2D"/>
    <w:rsid w:val="00F57119"/>
    <w:rsid w:val="00F60CB5"/>
    <w:rsid w:val="00F738B9"/>
    <w:rsid w:val="00F74241"/>
    <w:rsid w:val="00F77867"/>
    <w:rsid w:val="00F77A11"/>
    <w:rsid w:val="00F77AD1"/>
    <w:rsid w:val="00F804D1"/>
    <w:rsid w:val="00F8766A"/>
    <w:rsid w:val="00F92391"/>
    <w:rsid w:val="00F95A9F"/>
    <w:rsid w:val="00FA0267"/>
    <w:rsid w:val="00FA1FBB"/>
    <w:rsid w:val="00FB3AD9"/>
    <w:rsid w:val="00FC08B7"/>
    <w:rsid w:val="00FC2270"/>
    <w:rsid w:val="00FC5035"/>
    <w:rsid w:val="00FC5B84"/>
    <w:rsid w:val="00FC6A8F"/>
    <w:rsid w:val="00FD12C8"/>
    <w:rsid w:val="00FD413B"/>
    <w:rsid w:val="00FD4E3A"/>
    <w:rsid w:val="00FD54FE"/>
    <w:rsid w:val="00FD6260"/>
    <w:rsid w:val="00FD70D0"/>
    <w:rsid w:val="00FE1743"/>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39313365">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3863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espon.eu/main/Menu_Project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3272C4E2-7EC7-4692-9D72-24183AD9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2162</Words>
  <Characters>12326</Characters>
  <Application>Microsoft Office Word</Application>
  <DocSecurity>0</DocSecurity>
  <Lines>102</Lines>
  <Paragraphs>28</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14460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2012-10-24T12:19:00Z</cp:lastPrinted>
  <dcterms:created xsi:type="dcterms:W3CDTF">2012-11-20T11:47:00Z</dcterms:created>
  <dcterms:modified xsi:type="dcterms:W3CDTF">2012-11-28T17:00:00Z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