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A67899" w:rsidRDefault="00985DB1" w:rsidP="008F09C6">
      <w:pPr>
        <w:spacing w:line="240" w:lineRule="auto"/>
        <w:ind w:left="-851"/>
        <w:jc w:val="center"/>
        <w:rPr>
          <w:rFonts w:ascii="Arial" w:hAnsi="Arial" w:cs="Arial"/>
          <w:sz w:val="40"/>
          <w:szCs w:val="40"/>
          <w:lang w:val="en-US"/>
        </w:rPr>
      </w:pPr>
      <w:r w:rsidRPr="00A67899">
        <w:rPr>
          <w:rFonts w:ascii="Arial" w:hAnsi="Arial" w:cs="Arial"/>
          <w:sz w:val="40"/>
          <w:szCs w:val="40"/>
          <w:lang w:val="en-US"/>
        </w:rPr>
        <w:t>Northern Periphery</w:t>
      </w:r>
    </w:p>
    <w:p w:rsidR="00E613A3" w:rsidRDefault="00D95DDD"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3534992"/>
            <wp:effectExtent l="19050" t="0" r="381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9790" cy="3534992"/>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A67899" w:rsidRDefault="00A67899" w:rsidP="00A67899">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A67899" w:rsidRDefault="00A67899" w:rsidP="00A67899">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6144CC" w:rsidRPr="0085195F" w:rsidRDefault="0037764A" w:rsidP="006144CC">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6144CC">
        <w:t>This</w:t>
      </w:r>
      <w:r w:rsidR="006144CC" w:rsidRPr="0085195F">
        <w:t xml:space="preserve"> is intended as an electronic publication so map quality is generally high to allow users to zoom into specific territories.</w:t>
      </w:r>
    </w:p>
    <w:p w:rsidR="0037764A" w:rsidRDefault="006144CC" w:rsidP="006144CC">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CD5018">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6A1BF1" w:rsidRDefault="006A1BF1" w:rsidP="006A1BF1">
      <w:r>
        <w:t>In the following the traffic light for each indicator represents how your programme territory compares to wider European medians where green = your programme area performs better for that indicator, yel</w:t>
      </w:r>
      <w:r w:rsidR="006144CC">
        <w:t>low = similar, and red = worse.</w:t>
      </w:r>
    </w:p>
    <w:p w:rsidR="006E449B" w:rsidRPr="001A1861" w:rsidRDefault="006E449B" w:rsidP="006E449B">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6E449B" w:rsidRDefault="006E449B" w:rsidP="006E449B">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6E449B" w:rsidRDefault="006E449B">
      <w:pPr>
        <w:spacing w:after="0" w:line="240" w:lineRule="auto"/>
        <w:jc w:val="left"/>
        <w:rPr>
          <w:lang w:val="en-US"/>
        </w:rPr>
      </w:pPr>
      <w:r>
        <w:rPr>
          <w:lang w:val="en-US"/>
        </w:rPr>
        <w:br w:type="page"/>
      </w:r>
    </w:p>
    <w:p w:rsidR="00337872" w:rsidRDefault="00E43562" w:rsidP="00337872">
      <w:pPr>
        <w:pStyle w:val="Heading3"/>
      </w:pPr>
      <w:r w:rsidRPr="00C24995">
        <w:lastRenderedPageBreak/>
        <w:t xml:space="preserve">Smart, Sustainable and Inclusive </w:t>
      </w:r>
      <w:r w:rsidR="00337872" w:rsidRPr="00C24995">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331A01">
        <w:t>. In the framework of the Europe</w:t>
      </w:r>
      <w:r>
        <w:t xml:space="preserve"> 2020 Strategy it means focus on competitiveness, resource efficiency, climate change and biodiversity.</w:t>
      </w:r>
    </w:p>
    <w:p w:rsidR="00E43562" w:rsidRDefault="00E43562" w:rsidP="00E4356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B175C0" w:rsidRPr="00B175C0" w:rsidRDefault="00274710" w:rsidP="00E03E54">
      <w:pPr>
        <w:rPr>
          <w:b/>
          <w:szCs w:val="20"/>
          <w:highlight w:val="yellow"/>
          <w:u w:val="single"/>
        </w:rPr>
      </w:pPr>
      <w:r>
        <w:rPr>
          <w:noProof/>
          <w:szCs w:val="20"/>
          <w:lang w:val="en-US"/>
        </w:rPr>
        <w:drawing>
          <wp:anchor distT="0" distB="0" distL="114300" distR="114300" simplePos="0" relativeHeight="251686400" behindDoc="1" locked="0" layoutInCell="1" allowOverlap="1">
            <wp:simplePos x="0" y="0"/>
            <wp:positionH relativeFrom="column">
              <wp:posOffset>-16510</wp:posOffset>
            </wp:positionH>
            <wp:positionV relativeFrom="paragraph">
              <wp:posOffset>3175</wp:posOffset>
            </wp:positionV>
            <wp:extent cx="5273675" cy="3380740"/>
            <wp:effectExtent l="19050" t="0" r="3175" b="0"/>
            <wp:wrapTight wrapText="bothSides">
              <wp:wrapPolygon edited="0">
                <wp:start x="-78" y="122"/>
                <wp:lineTo x="-78" y="20813"/>
                <wp:lineTo x="21613" y="20813"/>
                <wp:lineTo x="21613" y="122"/>
                <wp:lineTo x="-78" y="122"/>
              </wp:wrapPolygon>
            </wp:wrapTight>
            <wp:docPr id="3" name="Bild 1" descr="C:\Dokumente und Einstellungen\pucher\Desktop\TL_TNC\TrafficLights_TNC_v3_Northern_Periphe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Northern_Periphery1.png"/>
                    <pic:cNvPicPr>
                      <a:picLocks noChangeAspect="1" noChangeArrowheads="1"/>
                    </pic:cNvPicPr>
                  </pic:nvPicPr>
                  <pic:blipFill>
                    <a:blip r:embed="rId15" cstate="print"/>
                    <a:srcRect/>
                    <a:stretch>
                      <a:fillRect/>
                    </a:stretch>
                  </pic:blipFill>
                  <pic:spPr bwMode="auto">
                    <a:xfrm>
                      <a:off x="0" y="0"/>
                      <a:ext cx="5273675" cy="3380740"/>
                    </a:xfrm>
                    <a:prstGeom prst="rect">
                      <a:avLst/>
                    </a:prstGeom>
                    <a:noFill/>
                    <a:ln w="9525">
                      <a:noFill/>
                      <a:miter lim="800000"/>
                      <a:headEnd/>
                      <a:tailEnd/>
                    </a:ln>
                  </pic:spPr>
                </pic:pic>
              </a:graphicData>
            </a:graphic>
          </wp:anchor>
        </w:drawing>
      </w:r>
      <w:r w:rsidR="00B175C0" w:rsidRPr="00811EB5">
        <w:rPr>
          <w:szCs w:val="20"/>
          <w:lang w:val="en-US"/>
        </w:rPr>
        <w:t xml:space="preserve">Looking at the indicators for </w:t>
      </w:r>
      <w:r w:rsidR="00B175C0" w:rsidRPr="00811EB5">
        <w:rPr>
          <w:b/>
          <w:szCs w:val="20"/>
          <w:lang w:val="en-US"/>
        </w:rPr>
        <w:t>smart growth</w:t>
      </w:r>
      <w:r w:rsidR="00B175C0">
        <w:rPr>
          <w:szCs w:val="20"/>
          <w:lang w:val="en-US"/>
        </w:rPr>
        <w:t>,</w:t>
      </w:r>
      <w:r w:rsidR="00B175C0" w:rsidRPr="00B175C0">
        <w:rPr>
          <w:szCs w:val="20"/>
          <w:lang w:val="en-US"/>
        </w:rPr>
        <w:t xml:space="preserve"> </w:t>
      </w:r>
      <w:r w:rsidR="00B175C0">
        <w:rPr>
          <w:szCs w:val="20"/>
          <w:lang w:val="en-US"/>
        </w:rPr>
        <w:t xml:space="preserve">(with regards to R&amp;D expenditure, employment in knowledge-intensive services, and the number of persons regularly using the internet) the Northern Periphery TNC area has positive values compared to the EU27+4. </w:t>
      </w:r>
      <w:r w:rsidR="00432211">
        <w:rPr>
          <w:szCs w:val="20"/>
          <w:lang w:val="en-US"/>
        </w:rPr>
        <w:t>A</w:t>
      </w:r>
      <w:r w:rsidR="00B175C0">
        <w:rPr>
          <w:szCs w:val="20"/>
          <w:lang w:val="en-US"/>
        </w:rPr>
        <w:t>lthough it must be added that the disparities within the area</w:t>
      </w:r>
      <w:r w:rsidR="00432211">
        <w:rPr>
          <w:szCs w:val="20"/>
          <w:lang w:val="en-US"/>
        </w:rPr>
        <w:t xml:space="preserve"> with regards to R&amp;D expenditure</w:t>
      </w:r>
      <w:r w:rsidR="00B175C0">
        <w:rPr>
          <w:szCs w:val="20"/>
          <w:lang w:val="en-US"/>
        </w:rPr>
        <w:t xml:space="preserve"> are high.</w:t>
      </w:r>
    </w:p>
    <w:p w:rsidR="00432211" w:rsidRDefault="00432211" w:rsidP="00432211">
      <w:pPr>
        <w:spacing w:line="240" w:lineRule="atLeast"/>
        <w:rPr>
          <w:szCs w:val="20"/>
          <w:lang w:val="en-US"/>
        </w:rPr>
      </w:pPr>
      <w:r>
        <w:rPr>
          <w:szCs w:val="20"/>
          <w:lang w:val="en-US"/>
        </w:rPr>
        <w:t xml:space="preserve">Using the taxonomy of the KIT project, Map 1 shows a diversified and scattered situation in terms of patterns of innovation. In some parts of the TNC area (north of Sweden and Finland, south-west of Ireland and parts of Scotland), many Nuts-2 regions of the TNC area are rated as “applied science-“ or areas due to a high level of science-based local knowledge and a high degree of attractiveness of knowledge coming from other regions. The other regions are mainly qualified as smart and creative diversification areas or smart technological application areas. </w:t>
      </w:r>
    </w:p>
    <w:p w:rsidR="00432211" w:rsidRDefault="00432211" w:rsidP="00432211">
      <w:pPr>
        <w:spacing w:line="240" w:lineRule="atLeast"/>
        <w:rPr>
          <w:szCs w:val="20"/>
          <w:lang w:val="en-US"/>
        </w:rPr>
      </w:pPr>
    </w:p>
    <w:p w:rsidR="00432211" w:rsidRPr="00811EB5" w:rsidRDefault="00432211" w:rsidP="00432211">
      <w:pPr>
        <w:spacing w:line="240" w:lineRule="atLeast"/>
        <w:rPr>
          <w:szCs w:val="20"/>
          <w:lang w:val="en-US"/>
        </w:rPr>
      </w:pPr>
      <w:r>
        <w:rPr>
          <w:szCs w:val="20"/>
          <w:lang w:val="en-US"/>
        </w:rPr>
        <w:lastRenderedPageBreak/>
        <w:t xml:space="preserve">The indicators for </w:t>
      </w:r>
      <w:r w:rsidRPr="00500A22">
        <w:rPr>
          <w:b/>
          <w:szCs w:val="20"/>
          <w:lang w:val="en-US"/>
        </w:rPr>
        <w:t>sustainable growth</w:t>
      </w:r>
      <w:r>
        <w:rPr>
          <w:szCs w:val="20"/>
          <w:lang w:val="en-US"/>
        </w:rPr>
        <w:t xml:space="preserve"> vary for the </w:t>
      </w:r>
      <w:r w:rsidR="002873E4">
        <w:rPr>
          <w:szCs w:val="20"/>
          <w:lang w:val="en-US"/>
        </w:rPr>
        <w:t xml:space="preserve">Northern Periphery TNC </w:t>
      </w:r>
      <w:r>
        <w:rPr>
          <w:szCs w:val="20"/>
          <w:lang w:val="en-US"/>
        </w:rPr>
        <w:t xml:space="preserve">area. The wind energy potential of the TNC area is </w:t>
      </w:r>
      <w:r w:rsidR="002873E4">
        <w:rPr>
          <w:szCs w:val="20"/>
          <w:lang w:val="en-US"/>
        </w:rPr>
        <w:t>much higher</w:t>
      </w:r>
      <w:r>
        <w:rPr>
          <w:szCs w:val="20"/>
          <w:lang w:val="en-US"/>
        </w:rPr>
        <w:t xml:space="preserve"> than the potential of the EU27+4 and has a high level of diversity within the area. In terms of ozone concentration, the </w:t>
      </w:r>
      <w:r w:rsidR="002873E4">
        <w:rPr>
          <w:szCs w:val="20"/>
          <w:lang w:val="en-US"/>
        </w:rPr>
        <w:t>Northern Periphery</w:t>
      </w:r>
      <w:r>
        <w:rPr>
          <w:szCs w:val="20"/>
          <w:lang w:val="en-US"/>
        </w:rPr>
        <w:t xml:space="preserve"> shows more positive values than the EU27+4; however the disparities within the area are high. The TNC area seems to be as vulnerable to climate change as the EU27+4 with high disparities across its regions.</w:t>
      </w:r>
    </w:p>
    <w:p w:rsidR="002873E4" w:rsidRDefault="002873E4" w:rsidP="00B069FC">
      <w:pPr>
        <w:rPr>
          <w:szCs w:val="20"/>
          <w:lang w:val="en-US"/>
        </w:rPr>
      </w:pPr>
      <w:r>
        <w:rPr>
          <w:lang w:val="en-US"/>
        </w:rPr>
        <w:t>The disparities within the TNC area are also striking when looking at Map 3 which highlights the adaptive capacity to climate change. The Scandinavian regions of the TNC area show higher capacity to adapt to climate change than the other regions.</w:t>
      </w:r>
      <w:r w:rsidR="00B069FC">
        <w:rPr>
          <w:lang w:val="en-US"/>
        </w:rPr>
        <w:t xml:space="preserve"> </w:t>
      </w:r>
      <w:r w:rsidRPr="00500A22">
        <w:rPr>
          <w:szCs w:val="20"/>
          <w:lang w:val="en-US"/>
        </w:rPr>
        <w:t xml:space="preserve">The </w:t>
      </w:r>
      <w:r>
        <w:rPr>
          <w:szCs w:val="20"/>
          <w:lang w:val="en-US"/>
        </w:rPr>
        <w:t xml:space="preserve">TNC area is not affected in terms of </w:t>
      </w:r>
      <w:r w:rsidRPr="00500A22">
        <w:rPr>
          <w:szCs w:val="20"/>
          <w:lang w:val="en-US"/>
        </w:rPr>
        <w:t xml:space="preserve">fossil fuel consumption </w:t>
      </w:r>
      <w:r>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r>
        <w:rPr>
          <w:szCs w:val="20"/>
          <w:lang w:val="en-US"/>
        </w:rPr>
        <w:t xml:space="preserve">. The exceptions are a few regions in the north of </w:t>
      </w:r>
      <w:r w:rsidR="003B78E6">
        <w:rPr>
          <w:szCs w:val="20"/>
          <w:lang w:val="en-US"/>
        </w:rPr>
        <w:t>Great Britain with moderate impacts</w:t>
      </w:r>
      <w:r>
        <w:rPr>
          <w:szCs w:val="20"/>
          <w:lang w:val="en-US"/>
        </w:rPr>
        <w:t xml:space="preserve"> and </w:t>
      </w:r>
      <w:r w:rsidR="003B78E6">
        <w:rPr>
          <w:szCs w:val="20"/>
          <w:lang w:val="en-US"/>
        </w:rPr>
        <w:t>Norway, where no data is available.</w:t>
      </w:r>
    </w:p>
    <w:p w:rsidR="00EA5B97" w:rsidRDefault="003B78E6" w:rsidP="00432211">
      <w:pPr>
        <w:spacing w:line="240" w:lineRule="atLeast"/>
        <w:rPr>
          <w:szCs w:val="20"/>
          <w:lang w:val="en-US"/>
        </w:rPr>
      </w:pPr>
      <w:r>
        <w:rPr>
          <w:szCs w:val="20"/>
          <w:lang w:val="en-US"/>
        </w:rPr>
        <w:t xml:space="preserve">The TNC area generally shows positive results in terms of </w:t>
      </w:r>
      <w:r w:rsidRPr="004E2230">
        <w:rPr>
          <w:b/>
          <w:szCs w:val="20"/>
          <w:lang w:val="en-US"/>
        </w:rPr>
        <w:t>inclusive growth</w:t>
      </w:r>
      <w:r>
        <w:rPr>
          <w:szCs w:val="20"/>
          <w:lang w:val="en-US"/>
        </w:rPr>
        <w:t>. The long-term unemployment rate in the TNC area is lower than in the EU27+4. The at-risk-of-poverty rate comparable to the rate of the EU27+4 and the share of persons aged 25-64 and 20-24 with upper secondary or tertiary education attainment is a bit higher than the rate of the EU27+4. Map 5 illustrates the diversity within the region with regards to the employment rates. The Scandinavian regions in the north-east of the TNC area experience higher employment rates than the regions in Ireland and parts of Great Britain within the No</w:t>
      </w:r>
      <w:r w:rsidR="008764FA">
        <w:rPr>
          <w:szCs w:val="20"/>
          <w:lang w:val="en-US"/>
        </w:rPr>
        <w:t>r</w:t>
      </w:r>
      <w:r>
        <w:rPr>
          <w:szCs w:val="20"/>
          <w:lang w:val="en-US"/>
        </w:rPr>
        <w:t xml:space="preserve">thern Periphery area. </w:t>
      </w:r>
    </w:p>
    <w:p w:rsidR="003B78E6" w:rsidRPr="00811EB5" w:rsidRDefault="003B78E6" w:rsidP="00432211">
      <w:pPr>
        <w:spacing w:line="240" w:lineRule="atLeast"/>
        <w:rPr>
          <w:szCs w:val="20"/>
          <w:lang w:val="en-US"/>
        </w:rPr>
      </w:pPr>
      <w:r>
        <w:rPr>
          <w:szCs w:val="20"/>
          <w:lang w:val="en-US"/>
        </w:rPr>
        <w:t>In all four ESPON DEMIFER scenarios (Map 4),</w:t>
      </w:r>
      <w:r w:rsidR="0082513C">
        <w:rPr>
          <w:szCs w:val="20"/>
          <w:lang w:val="en-US"/>
        </w:rPr>
        <w:t xml:space="preserve"> except </w:t>
      </w:r>
      <w:r w:rsidR="00EA5B97">
        <w:rPr>
          <w:szCs w:val="20"/>
          <w:lang w:val="en-US"/>
        </w:rPr>
        <w:t>“</w:t>
      </w:r>
      <w:r w:rsidR="0082513C">
        <w:rPr>
          <w:szCs w:val="20"/>
          <w:lang w:val="en-US"/>
        </w:rPr>
        <w:t>Expanding Market Europe</w:t>
      </w:r>
      <w:r w:rsidR="00EA5B97">
        <w:rPr>
          <w:szCs w:val="20"/>
          <w:lang w:val="en-US"/>
        </w:rPr>
        <w:t>”</w:t>
      </w:r>
      <w:r>
        <w:rPr>
          <w:szCs w:val="20"/>
          <w:lang w:val="en-US"/>
        </w:rPr>
        <w:t xml:space="preserve"> the north-eastern regions seem to experienc</w:t>
      </w:r>
      <w:r w:rsidR="008764FA">
        <w:rPr>
          <w:szCs w:val="20"/>
          <w:lang w:val="en-US"/>
        </w:rPr>
        <w:t>e more negative changes in labo</w:t>
      </w:r>
      <w:r>
        <w:rPr>
          <w:szCs w:val="20"/>
          <w:lang w:val="en-US"/>
        </w:rPr>
        <w:t xml:space="preserve">r market forces by 2050. </w:t>
      </w:r>
    </w:p>
    <w:p w:rsidR="00432211" w:rsidRPr="00432211" w:rsidRDefault="00432211" w:rsidP="00E03E54">
      <w:pPr>
        <w:rPr>
          <w:b/>
          <w:szCs w:val="20"/>
          <w:highlight w:val="yellow"/>
          <w:u w:val="single"/>
          <w:lang w:val="en-US"/>
        </w:rPr>
      </w:pPr>
    </w:p>
    <w:p w:rsidR="00B175C0" w:rsidRDefault="00B175C0" w:rsidP="00E03E54">
      <w:pPr>
        <w:rPr>
          <w:b/>
          <w:szCs w:val="20"/>
          <w:highlight w:val="yellow"/>
          <w:u w:val="single"/>
        </w:rPr>
      </w:pPr>
    </w:p>
    <w:p w:rsidR="00E43562" w:rsidRPr="00EA5B97" w:rsidRDefault="00E43562" w:rsidP="00E43562"/>
    <w:p w:rsidR="00E43562" w:rsidRPr="00EA5B97" w:rsidRDefault="00E43562">
      <w:pPr>
        <w:spacing w:after="0" w:line="240" w:lineRule="auto"/>
        <w:jc w:val="left"/>
      </w:pPr>
      <w:r w:rsidRPr="00EA5B97">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EF5FBF">
        <w:rPr>
          <w:b/>
        </w:rPr>
        <w:t>Northern Periphery</w:t>
      </w:r>
    </w:p>
    <w:p w:rsidR="008A3B96" w:rsidRDefault="008A3B96" w:rsidP="008A3B96"/>
    <w:p w:rsidR="008A3B96" w:rsidRDefault="00683DEE" w:rsidP="008A3B96">
      <w:pPr>
        <w:spacing w:after="0" w:line="240" w:lineRule="auto"/>
      </w:pPr>
      <w:r>
        <w:rPr>
          <w:noProof/>
          <w:lang w:val="en-US"/>
        </w:rPr>
        <w:pict>
          <v:shape id="_x0000_s1081" style="position:absolute;left:0;text-align:left;margin-left:20.05pt;margin-top:3.45pt;width:270.4pt;height:206pt;z-index:251716096" coordsize="5408,4120" path="m5002,v203,616,406,1232,381,1570c5358,1908,4969,2009,4850,2027v-119,18,-88,-281,-180,-346c4578,1616,4400,1586,4296,1639v-104,53,-131,289,-249,360c3929,2070,3673,1980,3590,2068v-83,88,43,289,-42,457c3463,2693,3338,3024,3077,3079v-261,55,-837,-226,-1093,-221c1728,2863,1616,3029,1540,3107v-76,78,-41,166,-13,221c1555,3383,1753,3400,1707,3439v-46,39,-349,104,-457,125c1142,3585,1114,3479,1056,3564v-58,85,24,468,-152,512c728,4120,151,3868,,3827e" filled="f" strokecolor="#0070c0">
            <v:path arrowok="t"/>
          </v:shape>
        </w:pict>
      </w:r>
      <w:r w:rsidR="00692689">
        <w:rPr>
          <w:noProof/>
          <w:lang w:val="en-US"/>
        </w:rPr>
        <w:drawing>
          <wp:inline distT="0" distB="0" distL="0" distR="0">
            <wp:extent cx="5278755" cy="6284584"/>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EF5FBF">
        <w:rPr>
          <w:b/>
        </w:rPr>
        <w:t>Northern Periphery</w:t>
      </w:r>
    </w:p>
    <w:p w:rsidR="00D26713" w:rsidRDefault="00D26713" w:rsidP="00D26713">
      <w:pPr>
        <w:spacing w:after="0" w:line="240" w:lineRule="auto"/>
        <w:rPr>
          <w:noProof/>
          <w:lang w:eastAsia="en-GB"/>
        </w:rPr>
      </w:pPr>
    </w:p>
    <w:p w:rsidR="00D26713" w:rsidRDefault="007D645C" w:rsidP="00D26713">
      <w:pPr>
        <w:spacing w:after="0" w:line="240" w:lineRule="auto"/>
        <w:rPr>
          <w:noProof/>
          <w:lang w:eastAsia="en-GB"/>
        </w:rPr>
      </w:pPr>
      <w:r>
        <w:rPr>
          <w:noProof/>
          <w:lang w:val="en-US"/>
        </w:rPr>
        <w:pict>
          <v:shape id="_x0000_s1089" style="position:absolute;left:0;text-align:left;margin-left:53.8pt;margin-top:2.85pt;width:254.4pt;height:181.75pt;z-index:251721216" coordsize="5088,3635" path="m4746,v171,770,342,1541,316,1859c5036,2177,4691,1943,4591,1910v-100,-33,-45,-207,-132,-250c4372,1617,4168,1609,4070,1653v-98,44,-104,212,-199,272c3776,1985,3573,1948,3497,2013v-76,65,11,174,-81,301c3324,2441,3202,2742,2946,2777v-256,35,-840,-267,-1066,-253c1654,2538,1604,2792,1587,2862v-17,70,213,48,191,84c1756,2982,1548,3052,1454,3078v-94,26,-169,-64,-242,22c1139,3186,1216,3551,1014,3593,812,3635,169,3390,,3350e" filled="f" strokecolor="#0070c0" strokeweight="1pt">
            <v:path arrowok="t"/>
          </v:shape>
        </w:pict>
      </w:r>
      <w:r w:rsidR="00692689">
        <w:rPr>
          <w:noProof/>
          <w:lang w:val="en-US"/>
        </w:rPr>
        <w:drawing>
          <wp:inline distT="0" distB="0" distL="0" distR="0">
            <wp:extent cx="5278755" cy="5815626"/>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EF5FBF">
        <w:rPr>
          <w:b/>
        </w:rPr>
        <w:t>Northern Periphery</w:t>
      </w:r>
    </w:p>
    <w:p w:rsidR="006E449B" w:rsidRPr="00021CAB" w:rsidRDefault="006E449B" w:rsidP="006E449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8346A8">
      <w:pPr>
        <w:spacing w:after="0" w:line="240" w:lineRule="auto"/>
        <w:jc w:val="left"/>
        <w:rPr>
          <w:noProof/>
          <w:lang w:eastAsia="en-GB"/>
        </w:rPr>
      </w:pPr>
      <w:r>
        <w:rPr>
          <w:noProof/>
          <w:lang w:val="en-US"/>
        </w:rPr>
        <w:pict>
          <v:shape id="_x0000_s1092" style="position:absolute;margin-left:34pt;margin-top:30.85pt;width:271.6pt;height:188.1pt;z-index:251722240" coordsize="5432,3762" path="m4995,v218,793,437,1587,416,1931c5390,2275,4981,2084,4870,2064v-111,-20,-29,-199,-125,-250c4649,1763,4400,1713,4295,1756v-105,43,-75,259,-183,316c4004,2129,3725,2036,3646,2097v-79,61,50,227,-8,341c3580,2552,3430,2691,3297,2780v-133,89,-250,206,-458,191c2631,2956,2248,2691,2049,2692v-199,1,-372,210,-404,287c1613,3056,1874,3100,1858,3155v-16,55,-202,128,-309,157c1442,3341,1280,3258,1216,3329v-64,71,153,383,-50,408c963,3762,193,3521,,3479e" filled="f" strokecolor="#0070c0" strokeweight="1pt">
            <v:path arrowok="t"/>
          </v:shape>
        </w:pict>
      </w:r>
      <w:r w:rsidR="004E68A8">
        <w:rPr>
          <w:noProof/>
          <w:lang w:val="en-US"/>
        </w:rPr>
        <w:drawing>
          <wp:inline distT="0" distB="0" distL="0" distR="0">
            <wp:extent cx="5278755" cy="6831330"/>
            <wp:effectExtent l="19050" t="0" r="0" b="0"/>
            <wp:docPr id="16" name="Grafik 14"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EF5FBF">
        <w:rPr>
          <w:b/>
        </w:rPr>
        <w:t>Northern Periphery</w:t>
      </w:r>
    </w:p>
    <w:p w:rsidR="0089569C" w:rsidRDefault="0089569C" w:rsidP="0089569C">
      <w:pPr>
        <w:spacing w:after="0" w:line="240" w:lineRule="auto"/>
        <w:rPr>
          <w:noProof/>
          <w:lang w:eastAsia="en-GB"/>
        </w:rPr>
      </w:pPr>
    </w:p>
    <w:p w:rsidR="0089569C" w:rsidRDefault="006722DE" w:rsidP="0089569C">
      <w:pPr>
        <w:spacing w:after="0" w:line="240" w:lineRule="auto"/>
        <w:rPr>
          <w:noProof/>
          <w:lang w:eastAsia="en-GB"/>
        </w:rPr>
      </w:pPr>
      <w:r>
        <w:rPr>
          <w:noProof/>
          <w:lang w:val="en-US"/>
        </w:rPr>
        <w:pict>
          <v:shape id="_x0000_s1099" style="position:absolute;left:0;text-align:left;margin-left:14.5pt;margin-top:209.9pt;width:149.25pt;height:104.9pt;z-index:251728384" coordsize="2985,2098" path="m2761,v112,419,224,839,208,1024c2953,1209,2718,1127,2665,1112v-53,-15,35,-148,-16,-176c2598,908,2429,913,2361,944v-68,31,-59,147,-120,176c2180,1149,2036,1081,1993,1120v-43,39,44,154,-8,232c1933,1430,1786,1565,1681,1592v-105,27,-233,-60,-328,-80c1258,1492,1184,1457,1113,1472v-71,15,-173,92,-188,132c910,1644,1062,1681,1025,1712v-37,31,-253,20,-320,80c638,1852,742,2044,625,2071,508,2098,104,1972,,1952e" filled="f" strokecolor="#0070c0">
            <v:path arrowok="t"/>
          </v:shape>
        </w:pict>
      </w:r>
      <w:r>
        <w:rPr>
          <w:noProof/>
          <w:lang w:val="en-US"/>
        </w:rPr>
        <w:pict>
          <v:shape id="_x0000_s1098" style="position:absolute;left:0;text-align:left;margin-left:214pt;margin-top:209.9pt;width:149.25pt;height:104.9pt;z-index:251727360" coordsize="2985,2098" path="m2761,v112,419,224,839,208,1024c2953,1209,2718,1127,2665,1112v-53,-15,35,-148,-16,-176c2598,908,2429,913,2361,944v-68,31,-59,147,-120,176c2180,1149,2036,1081,1993,1120v-43,39,44,154,-8,232c1933,1430,1786,1565,1681,1592v-105,27,-233,-60,-328,-80c1258,1492,1184,1457,1113,1472v-71,15,-173,92,-188,132c910,1644,1062,1681,1025,1712v-37,31,-253,20,-320,80c638,1852,742,2044,625,2071,508,2098,104,1972,,1952e" filled="f" strokecolor="#0070c0">
            <v:path arrowok="t"/>
          </v:shape>
        </w:pict>
      </w:r>
      <w:r>
        <w:rPr>
          <w:noProof/>
          <w:lang w:val="en-US"/>
        </w:rPr>
        <w:pict>
          <v:shape id="_x0000_s1097" style="position:absolute;left:0;text-align:left;margin-left:214pt;margin-top:5.4pt;width:149.25pt;height:104.9pt;z-index:251726336" coordsize="2985,2098" path="m2761,v112,419,224,839,208,1024c2953,1209,2718,1127,2665,1112v-53,-15,35,-148,-16,-176c2598,908,2429,913,2361,944v-68,31,-59,147,-120,176c2180,1149,2036,1081,1993,1120v-43,39,44,154,-8,232c1933,1430,1786,1565,1681,1592v-105,27,-233,-60,-328,-80c1258,1492,1184,1457,1113,1472v-71,15,-173,92,-188,132c910,1644,1062,1681,1025,1712v-37,31,-253,20,-320,80c638,1852,742,2044,625,2071,508,2098,104,1972,,1952e" filled="f" strokecolor="#0070c0">
            <v:path arrowok="t"/>
          </v:shape>
        </w:pict>
      </w:r>
      <w:r>
        <w:rPr>
          <w:noProof/>
          <w:lang w:val="en-US"/>
        </w:rPr>
        <w:pict>
          <v:shape id="_x0000_s1082" style="position:absolute;left:0;text-align:left;margin-left:14.5pt;margin-top:5.4pt;width:149.25pt;height:104.9pt;z-index:251717120" coordsize="2985,2098" path="m2761,v112,419,224,839,208,1024c2953,1209,2718,1127,2665,1112v-53,-15,35,-148,-16,-176c2598,908,2429,913,2361,944v-68,31,-59,147,-120,176c2180,1149,2036,1081,1993,1120v-43,39,44,154,-8,232c1933,1430,1786,1565,1681,1592v-105,27,-233,-60,-328,-80c1258,1492,1184,1457,1113,1472v-71,15,-173,92,-188,132c910,1644,1062,1681,1025,1712v-37,31,-253,20,-320,80c638,1852,742,2044,625,2071,508,2098,104,1972,,1952e" filled="f" strokecolor="#0070c0">
            <v:path arrowok="t"/>
          </v:shape>
        </w:pict>
      </w:r>
      <w:r w:rsidR="004E68A8">
        <w:rPr>
          <w:noProof/>
          <w:lang w:val="en-US"/>
        </w:rPr>
        <w:drawing>
          <wp:inline distT="0" distB="0" distL="0" distR="0">
            <wp:extent cx="5278755" cy="6911340"/>
            <wp:effectExtent l="19050" t="0" r="0" b="0"/>
            <wp:docPr id="17" name="Grafik 16"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EF5FBF">
        <w:rPr>
          <w:b/>
        </w:rPr>
        <w:t>Northern Periphery</w:t>
      </w:r>
    </w:p>
    <w:p w:rsidR="006166FD" w:rsidRDefault="006166FD" w:rsidP="00FD4E3A">
      <w:pPr>
        <w:spacing w:after="0" w:line="240" w:lineRule="auto"/>
        <w:jc w:val="left"/>
        <w:rPr>
          <w:noProof/>
          <w:lang w:eastAsia="en-GB"/>
        </w:rPr>
      </w:pPr>
    </w:p>
    <w:p w:rsidR="006166FD" w:rsidRDefault="00167826" w:rsidP="00FD4E3A">
      <w:pPr>
        <w:spacing w:after="0" w:line="240" w:lineRule="auto"/>
        <w:jc w:val="left"/>
        <w:rPr>
          <w:noProof/>
          <w:lang w:eastAsia="en-GB"/>
        </w:rPr>
      </w:pPr>
      <w:r>
        <w:rPr>
          <w:noProof/>
          <w:lang w:val="en-US"/>
        </w:rPr>
        <w:pict>
          <v:shape id="_x0000_s1093" style="position:absolute;margin-left:5.1pt;margin-top:3.4pt;width:243.75pt;height:213.3pt;z-index:251723264" coordsize="4875,4266" path="m4365,v253,886,496,1762,503,2155c4875,2548,4498,2382,4405,2361v-93,-21,3,-286,-96,-330c4210,1987,3921,2035,3808,2094v-113,59,-74,234,-177,291c3528,2442,3267,2367,3190,2438v-77,71,47,237,-18,371c3107,2943,3042,3188,2801,3242v-241,54,-827,-138,-1078,-106c1472,3168,1324,3363,1297,3434v-27,71,274,71,267,126c1557,3615,1355,3728,1255,3763v-100,35,-223,-70,-292,9c894,3851,1000,4214,840,4240,680,4266,340,4098,,3931e" filled="f" strokecolor="#0070c0" strokeweight="1pt">
            <v:path arrowok="t"/>
          </v:shape>
        </w:pict>
      </w:r>
      <w:r w:rsidR="009919FC">
        <w:rPr>
          <w:noProof/>
          <w:lang w:val="en-US"/>
        </w:rPr>
        <w:drawing>
          <wp:anchor distT="0" distB="0" distL="114300" distR="114300" simplePos="0" relativeHeight="251687424" behindDoc="0" locked="0" layoutInCell="1" allowOverlap="1">
            <wp:simplePos x="0" y="0"/>
            <wp:positionH relativeFrom="column">
              <wp:posOffset>1365885</wp:posOffset>
            </wp:positionH>
            <wp:positionV relativeFrom="paragraph">
              <wp:posOffset>5195570</wp:posOffset>
            </wp:positionV>
            <wp:extent cx="916305" cy="414655"/>
            <wp:effectExtent l="19050" t="0" r="0" b="0"/>
            <wp:wrapNone/>
            <wp:docPr id="4"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4E68A8">
        <w:rPr>
          <w:noProof/>
          <w:lang w:val="en-US"/>
        </w:rPr>
        <w:drawing>
          <wp:inline distT="0" distB="0" distL="0" distR="0">
            <wp:extent cx="5278755" cy="6141085"/>
            <wp:effectExtent l="19050" t="0" r="0" b="0"/>
            <wp:docPr id="18" name="Grafik 17"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C24995" w:rsidRDefault="005761A6" w:rsidP="005761A6">
      <w:pPr>
        <w:pStyle w:val="Heading1"/>
      </w:pPr>
      <w:r w:rsidRPr="00C24995">
        <w:lastRenderedPageBreak/>
        <w:t xml:space="preserve">Territorial factors of interest for the programme area </w:t>
      </w:r>
    </w:p>
    <w:p w:rsidR="00C24995" w:rsidRDefault="00C24995" w:rsidP="00C24995">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C24995" w:rsidRDefault="00C24995" w:rsidP="00C24995">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C24995" w:rsidRDefault="00C24995" w:rsidP="00C24995">
      <w:r>
        <w:t xml:space="preserve">The Northern Periphery programme area is characterised by its sparsely populated remote and often rural areas. Indeed the area comprises only a few smaller growth poles at European level such as Reykjavik, Bergen, Umeå or Oulu. </w:t>
      </w:r>
    </w:p>
    <w:p w:rsidR="00C24995" w:rsidRDefault="00C24995" w:rsidP="00C24995">
      <w:r>
        <w:t xml:space="preserve">The peripheral position of most parts of the programme area is also confirmed by the accessibility maps showing for most parts of the programme area a multimodal accessibility below European average. </w:t>
      </w:r>
    </w:p>
    <w:p w:rsidR="00C24995" w:rsidRDefault="00C24995" w:rsidP="00C24995">
      <w:r>
        <w:t>However, as ESPON GEOSPECS points out, t</w:t>
      </w:r>
      <w:r w:rsidRPr="0098031C">
        <w:t>he extent of economic and social development challenges linked to</w:t>
      </w:r>
      <w:r>
        <w:t xml:space="preserve"> </w:t>
      </w:r>
      <w:r w:rsidRPr="0098031C">
        <w:t>sparsity does not depend on the proportion of “sparse” or “poorly</w:t>
      </w:r>
      <w:r>
        <w:t xml:space="preserve"> </w:t>
      </w:r>
      <w:r w:rsidRPr="0098031C">
        <w:t>connected” areas at the regional or</w:t>
      </w:r>
      <w:r>
        <w:t xml:space="preserve"> </w:t>
      </w:r>
      <w:r w:rsidRPr="0098031C">
        <w:t>national level. The focus is not on</w:t>
      </w:r>
      <w:r>
        <w:t xml:space="preserve"> </w:t>
      </w:r>
      <w:r w:rsidRPr="0098031C">
        <w:t>uninhabited areas, but on local</w:t>
      </w:r>
      <w:r>
        <w:t xml:space="preserve"> </w:t>
      </w:r>
      <w:r w:rsidRPr="0098031C">
        <w:t>communities that are economically</w:t>
      </w:r>
      <w:r>
        <w:t xml:space="preserve"> </w:t>
      </w:r>
      <w:r w:rsidRPr="0098031C">
        <w:t>vulnerable because of the small size of</w:t>
      </w:r>
      <w:r>
        <w:t xml:space="preserve"> </w:t>
      </w:r>
      <w:r w:rsidRPr="0098031C">
        <w:t>the labour market and where the limited</w:t>
      </w:r>
      <w:r>
        <w:t xml:space="preserve"> </w:t>
      </w:r>
      <w:r w:rsidRPr="0098031C">
        <w:t>“reachable population” makes it difficult</w:t>
      </w:r>
      <w:r>
        <w:t xml:space="preserve"> </w:t>
      </w:r>
      <w:r w:rsidRPr="0098031C">
        <w:t>to deliver private and public services</w:t>
      </w:r>
      <w:r>
        <w:t xml:space="preserve"> </w:t>
      </w:r>
      <w:r w:rsidRPr="0098031C">
        <w:t>cost-efficiently</w:t>
      </w:r>
      <w:r>
        <w:t xml:space="preserve">. Accordingly for sparsely populated areas </w:t>
      </w:r>
      <w:r w:rsidRPr="009C5491">
        <w:t xml:space="preserve">the challenges are inherent in the definition of “sparsely populated”, as the logic of a market economy makes it inevitable that levels of service provision will be lower. </w:t>
      </w:r>
    </w:p>
    <w:p w:rsidR="00C24995" w:rsidRPr="009C5491" w:rsidRDefault="00C24995" w:rsidP="00C24995">
      <w:r>
        <w:t xml:space="preserve">At the same time sparsely populate areas have also development opportunities e.g. linked to natural resources, unexploited natural landscapes and quality of life (see ESPON GEOSPECS figure below). </w:t>
      </w:r>
    </w:p>
    <w:p w:rsidR="00C24995" w:rsidRPr="00A21FC8" w:rsidRDefault="00C24995" w:rsidP="00C24995">
      <w:r>
        <w:t xml:space="preserve">FIGURE – ESPON GEOSPECS </w:t>
      </w:r>
      <w:r w:rsidRPr="00A21FC8">
        <w:t>Nexus model for sparsely populated areas</w:t>
      </w:r>
    </w:p>
    <w:p w:rsidR="00C24995" w:rsidRDefault="00C24995" w:rsidP="00C24995">
      <w:pPr>
        <w:widowControl w:val="0"/>
        <w:autoSpaceDE w:val="0"/>
        <w:autoSpaceDN w:val="0"/>
        <w:adjustRightInd w:val="0"/>
        <w:spacing w:after="0" w:line="240" w:lineRule="auto"/>
        <w:jc w:val="left"/>
      </w:pPr>
      <w:r>
        <w:rPr>
          <w:noProof/>
          <w:lang w:val="en-US"/>
        </w:rPr>
        <w:drawing>
          <wp:inline distT="0" distB="0" distL="0" distR="0">
            <wp:extent cx="5274945" cy="3128419"/>
            <wp:effectExtent l="25400" t="0" r="8255"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4945" cy="3128419"/>
                    </a:xfrm>
                    <a:prstGeom prst="rect">
                      <a:avLst/>
                    </a:prstGeom>
                    <a:noFill/>
                    <a:ln w="9525">
                      <a:noFill/>
                      <a:miter lim="800000"/>
                      <a:headEnd/>
                      <a:tailEnd/>
                    </a:ln>
                  </pic:spPr>
                </pic:pic>
              </a:graphicData>
            </a:graphic>
          </wp:inline>
        </w:drawing>
      </w:r>
    </w:p>
    <w:p w:rsidR="00C24995" w:rsidRDefault="00C24995" w:rsidP="00C24995">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EF5FBF">
        <w:rPr>
          <w:b/>
        </w:rPr>
        <w:t>Northern Periphery</w:t>
      </w:r>
    </w:p>
    <w:p w:rsidR="0089569C" w:rsidRDefault="0089569C" w:rsidP="0089569C">
      <w:pPr>
        <w:spacing w:after="0" w:line="240" w:lineRule="auto"/>
        <w:jc w:val="left"/>
        <w:rPr>
          <w:noProof/>
          <w:lang w:eastAsia="en-GB"/>
        </w:rPr>
      </w:pPr>
    </w:p>
    <w:p w:rsidR="0089569C" w:rsidRDefault="00167826" w:rsidP="0089569C">
      <w:pPr>
        <w:spacing w:after="0" w:line="240" w:lineRule="auto"/>
        <w:jc w:val="left"/>
        <w:rPr>
          <w:noProof/>
          <w:lang w:eastAsia="en-GB"/>
        </w:rPr>
      </w:pPr>
      <w:r>
        <w:rPr>
          <w:noProof/>
          <w:lang w:val="en-US"/>
        </w:rPr>
        <w:pict>
          <v:shape id="_x0000_s1095" style="position:absolute;margin-left:15.05pt;margin-top:.6pt;width:276.2pt;height:216.7pt;z-index:251724288" coordsize="5524,4334" path="m4955,v276,708,553,1417,561,1777c5524,2137,5114,2152,5002,2160v-112,8,-39,-273,-157,-335c4727,1763,4420,1729,4294,1788v-126,59,-92,316,-208,391c3970,2254,3679,2156,3600,2235v-79,79,88,275,9,421c3530,2802,3340,3052,3123,3114v-217,62,-608,-65,-814,-84c2103,3011,2016,2951,1888,3002v-128,51,-324,250,-349,336c1514,3424,1760,3450,1739,3516v-21,66,-213,178,-325,219c1302,3776,1158,3662,1066,3759v-92,97,-28,547,-206,561c682,4334,341,4088,,3843e" filled="f" strokecolor="#0070c0" strokeweight="1pt">
            <v:path arrowok="t"/>
          </v:shape>
        </w:pict>
      </w:r>
      <w:r w:rsidR="004E011B">
        <w:rPr>
          <w:noProof/>
          <w:lang w:val="en-US"/>
        </w:rPr>
        <w:drawing>
          <wp:inline distT="0" distB="0" distL="0" distR="0">
            <wp:extent cx="5278755" cy="721406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EF5FBF">
        <w:rPr>
          <w:b/>
        </w:rPr>
        <w:t>TNC Northern Periphery</w:t>
      </w:r>
    </w:p>
    <w:p w:rsidR="006E449B" w:rsidRPr="00021CAB" w:rsidRDefault="00167826" w:rsidP="006E449B">
      <w:pPr>
        <w:spacing w:after="240"/>
        <w:rPr>
          <w:i/>
        </w:rPr>
      </w:pPr>
      <w:r>
        <w:rPr>
          <w:i/>
          <w:noProof/>
          <w:lang w:val="en-US"/>
        </w:rPr>
        <w:pict>
          <v:shape id="_x0000_s1096" style="position:absolute;left:0;text-align:left;margin-left:15.35pt;margin-top:35.65pt;width:272.05pt;height:212.1pt;z-index:251725312" coordsize="5441,4242" path="m4872,v276,855,553,1710,561,2067c5441,2424,5022,2183,4918,2142v-104,-41,-5,-261,-109,-320c4705,1763,4411,1733,4292,1786v-119,53,-85,280,-197,356c3983,2218,3706,2161,3619,2244v-87,83,34,247,-47,393c3491,2783,3417,3058,3132,3123v-285,65,-1005,-133,-1271,-93c1595,3070,1556,3285,1533,3365v-23,80,179,105,191,147c1736,3554,1654,3593,1608,3619v-46,26,-74,25,-163,47c1356,3688,1163,3658,1075,3750v-88,92,20,442,-159,467c737,4242,368,4071,,3900e" filled="f" strokecolor="#0070c0" strokeweight="1pt">
            <v:path arrowok="t"/>
          </v:shape>
        </w:pict>
      </w:r>
      <w:r w:rsidR="006E449B" w:rsidRPr="00021CAB">
        <w:rPr>
          <w:i/>
        </w:rPr>
        <w:t>“Potential Accessibility Multimodal” scores accessibility of NUTS 3 regions by road, rail and air relative to the European average in an Accessibility Index.</w:t>
      </w:r>
    </w:p>
    <w:p w:rsidR="0089569C" w:rsidRDefault="004E68A8" w:rsidP="0089569C">
      <w:pPr>
        <w:spacing w:after="0" w:line="240" w:lineRule="auto"/>
        <w:jc w:val="left"/>
        <w:rPr>
          <w:noProof/>
          <w:lang w:eastAsia="en-GB"/>
        </w:rPr>
      </w:pPr>
      <w:r>
        <w:rPr>
          <w:noProof/>
          <w:lang w:val="en-US"/>
        </w:rPr>
        <w:drawing>
          <wp:inline distT="0" distB="0" distL="0" distR="0">
            <wp:extent cx="5278755" cy="7444105"/>
            <wp:effectExtent l="19050" t="0" r="0" b="0"/>
            <wp:docPr id="20" name="Grafik 19"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4"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C24995" w:rsidRDefault="0019394E" w:rsidP="0019394E">
      <w:pPr>
        <w:pStyle w:val="Heading1"/>
      </w:pPr>
      <w:r w:rsidRPr="00C24995">
        <w:lastRenderedPageBreak/>
        <w:t xml:space="preserve">Recommended ESPON reading </w:t>
      </w:r>
    </w:p>
    <w:p w:rsidR="00C24995" w:rsidRDefault="00C24995" w:rsidP="00C24995">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C24995" w:rsidRDefault="00C24995" w:rsidP="00C24995">
      <w:r>
        <w:t>The table below shows examples of relevant projects for the Cooperation Region. However, you have to study other ESPON reports as well in order to capitalise fully on the European information available for the transnational programming.</w:t>
      </w:r>
    </w:p>
    <w:tbl>
      <w:tblPr>
        <w:tblW w:w="964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134"/>
        <w:gridCol w:w="1134"/>
        <w:gridCol w:w="7372"/>
      </w:tblGrid>
      <w:tr w:rsidR="00C24995" w:rsidRPr="00982E24" w:rsidTr="00FD5492">
        <w:trPr>
          <w:trHeight w:val="203"/>
        </w:trPr>
        <w:tc>
          <w:tcPr>
            <w:tcW w:w="1134" w:type="dxa"/>
            <w:shd w:val="clear" w:color="auto" w:fill="auto"/>
          </w:tcPr>
          <w:p w:rsidR="00C24995" w:rsidRPr="00982E24" w:rsidRDefault="00C24995" w:rsidP="00FD5492">
            <w:pPr>
              <w:spacing w:after="0" w:line="20" w:lineRule="atLeast"/>
              <w:jc w:val="left"/>
              <w:rPr>
                <w:b/>
                <w:sz w:val="15"/>
                <w:szCs w:val="20"/>
              </w:rPr>
            </w:pPr>
            <w:r w:rsidRPr="00982E24">
              <w:rPr>
                <w:b/>
                <w:sz w:val="15"/>
                <w:szCs w:val="20"/>
              </w:rPr>
              <w:t>ESPON study</w:t>
            </w:r>
          </w:p>
        </w:tc>
        <w:tc>
          <w:tcPr>
            <w:tcW w:w="1134" w:type="dxa"/>
            <w:shd w:val="clear" w:color="auto" w:fill="auto"/>
          </w:tcPr>
          <w:p w:rsidR="00C24995" w:rsidRPr="00982E24" w:rsidRDefault="00C24995" w:rsidP="00FD5492">
            <w:pPr>
              <w:spacing w:after="0" w:line="20" w:lineRule="atLeast"/>
              <w:rPr>
                <w:b/>
                <w:sz w:val="15"/>
                <w:szCs w:val="20"/>
              </w:rPr>
            </w:pPr>
            <w:r w:rsidRPr="00982E24">
              <w:rPr>
                <w:b/>
                <w:sz w:val="15"/>
                <w:szCs w:val="20"/>
              </w:rPr>
              <w:t>Topic</w:t>
            </w:r>
          </w:p>
        </w:tc>
        <w:tc>
          <w:tcPr>
            <w:tcW w:w="7372" w:type="dxa"/>
            <w:shd w:val="clear" w:color="auto" w:fill="auto"/>
          </w:tcPr>
          <w:p w:rsidR="00C24995" w:rsidRPr="00982E24" w:rsidRDefault="00C24995" w:rsidP="00FD5492">
            <w:pPr>
              <w:spacing w:after="0" w:line="20" w:lineRule="atLeast"/>
              <w:rPr>
                <w:b/>
                <w:sz w:val="15"/>
                <w:szCs w:val="20"/>
              </w:rPr>
            </w:pPr>
            <w:r w:rsidRPr="00982E24">
              <w:rPr>
                <w:b/>
                <w:sz w:val="15"/>
                <w:szCs w:val="20"/>
              </w:rPr>
              <w:t>Content</w:t>
            </w:r>
          </w:p>
        </w:tc>
      </w:tr>
      <w:tr w:rsidR="00C24995" w:rsidRPr="00982E24" w:rsidTr="00FD5492">
        <w:trPr>
          <w:trHeight w:val="409"/>
        </w:trPr>
        <w:tc>
          <w:tcPr>
            <w:tcW w:w="1134" w:type="dxa"/>
            <w:shd w:val="clear" w:color="auto" w:fill="FFFFFF" w:themeFill="background1"/>
          </w:tcPr>
          <w:p w:rsidR="00C24995" w:rsidRPr="00982E24" w:rsidRDefault="00C24995" w:rsidP="00FD5492">
            <w:pPr>
              <w:spacing w:after="0" w:line="20" w:lineRule="atLeast"/>
              <w:jc w:val="left"/>
              <w:rPr>
                <w:rFonts w:cs="Calibri"/>
                <w:sz w:val="15"/>
                <w:szCs w:val="20"/>
                <w:lang w:eastAsia="fr-FR"/>
              </w:rPr>
            </w:pPr>
            <w:r w:rsidRPr="00982E24">
              <w:rPr>
                <w:rFonts w:cs="Calibri"/>
                <w:sz w:val="15"/>
                <w:szCs w:val="20"/>
                <w:lang w:eastAsia="fr-FR"/>
              </w:rPr>
              <w:t xml:space="preserve">EDORA </w:t>
            </w:r>
          </w:p>
        </w:tc>
        <w:tc>
          <w:tcPr>
            <w:tcW w:w="1134" w:type="dxa"/>
            <w:shd w:val="clear" w:color="auto" w:fill="FFFFFF" w:themeFill="background1"/>
          </w:tcPr>
          <w:p w:rsidR="00C24995" w:rsidRPr="00982E24" w:rsidRDefault="00C24995" w:rsidP="00FD5492">
            <w:pPr>
              <w:spacing w:after="0" w:line="20" w:lineRule="atLeast"/>
              <w:rPr>
                <w:rFonts w:cs="Calibri"/>
                <w:sz w:val="15"/>
                <w:szCs w:val="20"/>
                <w:lang w:eastAsia="fr-FR"/>
              </w:rPr>
            </w:pPr>
            <w:r w:rsidRPr="00982E24">
              <w:rPr>
                <w:rFonts w:cs="Calibri"/>
                <w:sz w:val="15"/>
                <w:szCs w:val="20"/>
                <w:lang w:eastAsia="fr-FR"/>
              </w:rPr>
              <w:t>Rural areas</w:t>
            </w:r>
          </w:p>
        </w:tc>
        <w:tc>
          <w:tcPr>
            <w:tcW w:w="7372" w:type="dxa"/>
            <w:shd w:val="clear" w:color="auto" w:fill="FFFFFF" w:themeFill="background1"/>
          </w:tcPr>
          <w:p w:rsidR="00C24995" w:rsidRPr="00456A18" w:rsidRDefault="00C24995" w:rsidP="00FD5492">
            <w:pPr>
              <w:spacing w:after="0" w:line="20" w:lineRule="atLeast"/>
              <w:rPr>
                <w:rFonts w:cs="Calibri"/>
                <w:sz w:val="15"/>
                <w:szCs w:val="18"/>
                <w:lang w:eastAsia="fr-FR"/>
              </w:rPr>
            </w:pPr>
            <w:r w:rsidRPr="00456A18">
              <w:rPr>
                <w:rFonts w:cs="Calibri"/>
                <w:sz w:val="15"/>
                <w:szCs w:val="18"/>
                <w:lang w:eastAsia="fr-FR"/>
              </w:rPr>
              <w:t>It provides evidence on the development opportunities of diverse types of European rural areas and reveal options for improving their competitiveness (see maps in Appendix 1).</w:t>
            </w:r>
          </w:p>
        </w:tc>
      </w:tr>
      <w:tr w:rsidR="00C24995" w:rsidRPr="00982E24" w:rsidTr="00FD5492">
        <w:trPr>
          <w:trHeight w:val="418"/>
        </w:trPr>
        <w:tc>
          <w:tcPr>
            <w:tcW w:w="1134" w:type="dxa"/>
            <w:shd w:val="clear" w:color="auto" w:fill="FFFFFF" w:themeFill="background1"/>
          </w:tcPr>
          <w:p w:rsidR="00C24995" w:rsidRPr="00982E24" w:rsidRDefault="00C24995" w:rsidP="00FD5492">
            <w:pPr>
              <w:spacing w:after="0" w:line="20" w:lineRule="atLeast"/>
              <w:jc w:val="left"/>
              <w:rPr>
                <w:rFonts w:cs="Calibri"/>
                <w:sz w:val="15"/>
                <w:szCs w:val="20"/>
                <w:lang w:eastAsia="fr-FR"/>
              </w:rPr>
            </w:pPr>
            <w:r w:rsidRPr="00982E24">
              <w:rPr>
                <w:rFonts w:cs="Calibri"/>
                <w:sz w:val="15"/>
                <w:szCs w:val="20"/>
                <w:lang w:eastAsia="fr-FR"/>
              </w:rPr>
              <w:t xml:space="preserve">CLIMATE </w:t>
            </w:r>
          </w:p>
        </w:tc>
        <w:tc>
          <w:tcPr>
            <w:tcW w:w="1134" w:type="dxa"/>
            <w:shd w:val="clear" w:color="auto" w:fill="FFFFFF" w:themeFill="background1"/>
          </w:tcPr>
          <w:p w:rsidR="00C24995" w:rsidRPr="00982E24" w:rsidRDefault="00C24995" w:rsidP="00FD5492">
            <w:pPr>
              <w:spacing w:after="0" w:line="20" w:lineRule="atLeast"/>
              <w:rPr>
                <w:rFonts w:cs="Calibri"/>
                <w:sz w:val="15"/>
                <w:szCs w:val="20"/>
                <w:highlight w:val="yellow"/>
                <w:lang w:eastAsia="fr-FR"/>
              </w:rPr>
            </w:pPr>
            <w:r w:rsidRPr="00982E24">
              <w:rPr>
                <w:rFonts w:cs="Calibri"/>
                <w:sz w:val="15"/>
                <w:szCs w:val="20"/>
                <w:lang w:eastAsia="fr-FR"/>
              </w:rPr>
              <w:t>Climate change</w:t>
            </w:r>
          </w:p>
        </w:tc>
        <w:tc>
          <w:tcPr>
            <w:tcW w:w="7372" w:type="dxa"/>
            <w:shd w:val="clear" w:color="auto" w:fill="FFFFFF" w:themeFill="background1"/>
          </w:tcPr>
          <w:p w:rsidR="00C24995" w:rsidRPr="00456A18" w:rsidRDefault="00C24995" w:rsidP="00FD5492">
            <w:pPr>
              <w:spacing w:after="0" w:line="20" w:lineRule="atLeast"/>
              <w:rPr>
                <w:rFonts w:cs="Calibri"/>
                <w:sz w:val="15"/>
                <w:szCs w:val="18"/>
                <w:lang w:eastAsia="fr-FR"/>
              </w:rPr>
            </w:pPr>
            <w:r w:rsidRPr="00456A18">
              <w:rPr>
                <w:rFonts w:cs="Calibri"/>
                <w:sz w:val="15"/>
                <w:szCs w:val="18"/>
                <w:lang w:eastAsia="fr-FR"/>
              </w:rPr>
              <w:t>It analyses how and to which degree climate change will impact on the competitiveness and cohesion of European regions and Europe as a whole. The maps include information on climate change exposure, impact, vulnerability and response capacity (see from map 1 to 23).</w:t>
            </w:r>
          </w:p>
        </w:tc>
      </w:tr>
      <w:tr w:rsidR="00C24995" w:rsidRPr="00982E24" w:rsidTr="00FD5492">
        <w:trPr>
          <w:trHeight w:val="406"/>
        </w:trPr>
        <w:tc>
          <w:tcPr>
            <w:tcW w:w="1134" w:type="dxa"/>
            <w:shd w:val="clear" w:color="auto" w:fill="FFFFFF" w:themeFill="background1"/>
          </w:tcPr>
          <w:p w:rsidR="00C24995" w:rsidRPr="00982E24" w:rsidRDefault="00C24995" w:rsidP="00FD5492">
            <w:pPr>
              <w:spacing w:after="0" w:line="20" w:lineRule="atLeast"/>
              <w:jc w:val="left"/>
              <w:rPr>
                <w:sz w:val="15"/>
              </w:rPr>
            </w:pPr>
            <w:r>
              <w:rPr>
                <w:sz w:val="15"/>
              </w:rPr>
              <w:t>TIPTAP</w:t>
            </w:r>
          </w:p>
        </w:tc>
        <w:tc>
          <w:tcPr>
            <w:tcW w:w="1134" w:type="dxa"/>
            <w:shd w:val="clear" w:color="auto" w:fill="FFFFFF" w:themeFill="background1"/>
          </w:tcPr>
          <w:p w:rsidR="00C24995" w:rsidRPr="00982E24" w:rsidRDefault="00C24995" w:rsidP="00FD5492">
            <w:pPr>
              <w:spacing w:after="0" w:line="20" w:lineRule="atLeast"/>
              <w:rPr>
                <w:sz w:val="15"/>
              </w:rPr>
            </w:pPr>
            <w:r w:rsidRPr="00982E24">
              <w:rPr>
                <w:sz w:val="15"/>
              </w:rPr>
              <w:t>Territorial impact assessment</w:t>
            </w:r>
          </w:p>
        </w:tc>
        <w:tc>
          <w:tcPr>
            <w:tcW w:w="7372" w:type="dxa"/>
            <w:shd w:val="clear" w:color="auto" w:fill="FFFFFF" w:themeFill="background1"/>
          </w:tcPr>
          <w:p w:rsidR="00C24995" w:rsidRPr="00456A18" w:rsidRDefault="00C24995" w:rsidP="00FD5492">
            <w:pPr>
              <w:spacing w:after="0" w:line="20" w:lineRule="atLeast"/>
              <w:rPr>
                <w:rFonts w:cs="Calibri"/>
                <w:sz w:val="15"/>
                <w:szCs w:val="18"/>
                <w:lang w:eastAsia="fr-FR"/>
              </w:rPr>
            </w:pPr>
            <w:r w:rsidRPr="00456A18">
              <w:rPr>
                <w:rFonts w:cs="Calibri"/>
                <w:sz w:val="15"/>
                <w:szCs w:val="18"/>
                <w:lang w:eastAsia="fr-FR"/>
              </w:rPr>
              <w:t xml:space="preserve">It provides a tool for the ex-ante assessment of territorial impacts of policies to deliver evidence on the territorial impact of these policies (see from map 2.3.1 to 2.3.9).  </w:t>
            </w:r>
          </w:p>
        </w:tc>
      </w:tr>
      <w:tr w:rsidR="00C24995" w:rsidRPr="00982E24" w:rsidTr="00FD5492">
        <w:trPr>
          <w:trHeight w:val="735"/>
        </w:trPr>
        <w:tc>
          <w:tcPr>
            <w:tcW w:w="1134" w:type="dxa"/>
            <w:shd w:val="clear" w:color="auto" w:fill="FFFFFF" w:themeFill="background1"/>
          </w:tcPr>
          <w:p w:rsidR="00C24995" w:rsidRPr="00982E24" w:rsidRDefault="00C24995" w:rsidP="00FD5492">
            <w:pPr>
              <w:spacing w:after="0" w:line="20" w:lineRule="atLeast"/>
              <w:jc w:val="left"/>
              <w:rPr>
                <w:rFonts w:cs="Calibri"/>
                <w:sz w:val="15"/>
                <w:szCs w:val="18"/>
                <w:lang w:eastAsia="fr-FR"/>
              </w:rPr>
            </w:pPr>
            <w:r w:rsidRPr="00982E24">
              <w:rPr>
                <w:rFonts w:cs="Calibri"/>
                <w:sz w:val="15"/>
                <w:szCs w:val="18"/>
                <w:lang w:eastAsia="fr-FR"/>
              </w:rPr>
              <w:t xml:space="preserve">TRANSMEC </w:t>
            </w:r>
          </w:p>
        </w:tc>
        <w:tc>
          <w:tcPr>
            <w:tcW w:w="1134" w:type="dxa"/>
            <w:shd w:val="clear" w:color="auto" w:fill="FFFFFF" w:themeFill="background1"/>
          </w:tcPr>
          <w:p w:rsidR="00C24995" w:rsidRPr="00982E24" w:rsidRDefault="00C24995" w:rsidP="00FD5492">
            <w:pPr>
              <w:spacing w:after="0" w:line="20" w:lineRule="atLeast"/>
              <w:rPr>
                <w:rFonts w:cs="Calibri"/>
                <w:sz w:val="15"/>
                <w:szCs w:val="18"/>
                <w:lang w:eastAsia="fr-FR"/>
              </w:rPr>
            </w:pPr>
            <w:r w:rsidRPr="00982E24">
              <w:rPr>
                <w:rFonts w:cs="Calibri"/>
                <w:sz w:val="15"/>
                <w:szCs w:val="18"/>
                <w:lang w:eastAsia="fr-FR"/>
              </w:rPr>
              <w:t>European cooperation</w:t>
            </w:r>
          </w:p>
        </w:tc>
        <w:tc>
          <w:tcPr>
            <w:tcW w:w="7372" w:type="dxa"/>
            <w:shd w:val="clear" w:color="auto" w:fill="FFFFFF" w:themeFill="background1"/>
          </w:tcPr>
          <w:p w:rsidR="00C24995" w:rsidRPr="00456A18" w:rsidRDefault="00C24995" w:rsidP="00FD5492">
            <w:pPr>
              <w:spacing w:after="0" w:line="20" w:lineRule="atLeast"/>
              <w:rPr>
                <w:rFonts w:cs="Calibri"/>
                <w:sz w:val="15"/>
                <w:szCs w:val="18"/>
                <w:lang w:eastAsia="fr-FR"/>
              </w:rPr>
            </w:pPr>
            <w:r w:rsidRPr="00982E24">
              <w:rPr>
                <w:rFonts w:cs="Calibri"/>
                <w:sz w:val="15"/>
                <w:szCs w:val="18"/>
                <w:lang w:eastAsia="fr-FR"/>
              </w:rPr>
              <w:t>It develops a general method providing guidance on how ESPON results can add value to and/or present synergy with national and regional knowledge in the development of tools to support territorial cooperation programmes in capitalisation and considerations on futur</w:t>
            </w:r>
            <w:r>
              <w:rPr>
                <w:rFonts w:cs="Calibri"/>
                <w:sz w:val="15"/>
                <w:szCs w:val="18"/>
                <w:lang w:eastAsia="fr-FR"/>
              </w:rPr>
              <w:t xml:space="preserve">e strategic project development </w:t>
            </w:r>
            <w:r w:rsidRPr="00456A18">
              <w:rPr>
                <w:rFonts w:cs="Calibri"/>
                <w:sz w:val="15"/>
                <w:szCs w:val="18"/>
                <w:lang w:eastAsia="fr-FR"/>
              </w:rPr>
              <w:t>(see map 27 and from map 36 to 39 on potential accessibility indicators).</w:t>
            </w:r>
            <w:r w:rsidRPr="00982E24">
              <w:rPr>
                <w:rFonts w:cs="Calibri"/>
                <w:sz w:val="15"/>
                <w:szCs w:val="18"/>
                <w:lang w:eastAsia="fr-FR"/>
              </w:rPr>
              <w:t xml:space="preserve"> The method is applied for the Northwest-Europe cooperation area. </w:t>
            </w:r>
          </w:p>
        </w:tc>
      </w:tr>
      <w:tr w:rsidR="00C24995" w:rsidRPr="00982E24" w:rsidTr="00FD5492">
        <w:trPr>
          <w:trHeight w:val="274"/>
        </w:trPr>
        <w:tc>
          <w:tcPr>
            <w:tcW w:w="1134" w:type="dxa"/>
            <w:shd w:val="clear" w:color="auto" w:fill="FFFFFF" w:themeFill="background1"/>
          </w:tcPr>
          <w:p w:rsidR="00C24995" w:rsidRPr="00982E24" w:rsidRDefault="00C24995" w:rsidP="00FD5492">
            <w:pPr>
              <w:spacing w:after="0" w:line="20" w:lineRule="atLeast"/>
              <w:jc w:val="left"/>
              <w:rPr>
                <w:sz w:val="15"/>
                <w:szCs w:val="18"/>
              </w:rPr>
            </w:pPr>
            <w:r w:rsidRPr="00982E24">
              <w:rPr>
                <w:sz w:val="15"/>
                <w:szCs w:val="18"/>
              </w:rPr>
              <w:t xml:space="preserve">SEMIGRA </w:t>
            </w:r>
          </w:p>
        </w:tc>
        <w:tc>
          <w:tcPr>
            <w:tcW w:w="1134" w:type="dxa"/>
            <w:shd w:val="clear" w:color="auto" w:fill="FFFFFF" w:themeFill="background1"/>
          </w:tcPr>
          <w:p w:rsidR="00C24995" w:rsidRPr="00982E24" w:rsidRDefault="00C24995" w:rsidP="00FD5492">
            <w:pPr>
              <w:spacing w:after="0" w:line="20" w:lineRule="atLeast"/>
              <w:rPr>
                <w:sz w:val="15"/>
                <w:szCs w:val="18"/>
              </w:rPr>
            </w:pPr>
            <w:r w:rsidRPr="00982E24">
              <w:rPr>
                <w:sz w:val="15"/>
                <w:szCs w:val="18"/>
              </w:rPr>
              <w:t>Rural migration</w:t>
            </w:r>
          </w:p>
        </w:tc>
        <w:tc>
          <w:tcPr>
            <w:tcW w:w="7372" w:type="dxa"/>
            <w:shd w:val="clear" w:color="auto" w:fill="FFFFFF" w:themeFill="background1"/>
          </w:tcPr>
          <w:p w:rsidR="00C24995" w:rsidRPr="00456A18" w:rsidRDefault="00C24995" w:rsidP="00FD5492">
            <w:pPr>
              <w:spacing w:after="0" w:line="20" w:lineRule="atLeast"/>
              <w:rPr>
                <w:rFonts w:cs="Calibri"/>
                <w:sz w:val="15"/>
                <w:szCs w:val="18"/>
                <w:lang w:eastAsia="fr-FR"/>
              </w:rPr>
            </w:pPr>
            <w:r w:rsidRPr="00456A18">
              <w:rPr>
                <w:rFonts w:cs="Calibri"/>
                <w:sz w:val="15"/>
                <w:szCs w:val="18"/>
                <w:lang w:eastAsia="fr-FR"/>
              </w:rPr>
              <w:t>It identifies the main reasons and consequences of selective migration in rural regions. The aim of the project is to develop strategies for territorial development in order to deal with selective migration and to stabilize demographic and social development (see map 1, 4 and 5).</w:t>
            </w:r>
          </w:p>
        </w:tc>
      </w:tr>
      <w:tr w:rsidR="00C24995" w:rsidRPr="00982E24" w:rsidTr="00FD5492">
        <w:trPr>
          <w:trHeight w:val="274"/>
        </w:trPr>
        <w:tc>
          <w:tcPr>
            <w:tcW w:w="1134" w:type="dxa"/>
            <w:shd w:val="clear" w:color="auto" w:fill="FFFFFF" w:themeFill="background1"/>
          </w:tcPr>
          <w:p w:rsidR="00C24995" w:rsidRPr="00982E24" w:rsidRDefault="00C24995" w:rsidP="00FD5492">
            <w:pPr>
              <w:spacing w:after="0" w:line="20" w:lineRule="atLeast"/>
              <w:jc w:val="left"/>
              <w:rPr>
                <w:sz w:val="15"/>
                <w:szCs w:val="18"/>
              </w:rPr>
            </w:pPr>
            <w:r w:rsidRPr="00982E24">
              <w:rPr>
                <w:sz w:val="15"/>
                <w:szCs w:val="18"/>
              </w:rPr>
              <w:t xml:space="preserve">SGPTD </w:t>
            </w:r>
          </w:p>
        </w:tc>
        <w:tc>
          <w:tcPr>
            <w:tcW w:w="1134" w:type="dxa"/>
            <w:shd w:val="clear" w:color="auto" w:fill="FFFFFF" w:themeFill="background1"/>
          </w:tcPr>
          <w:p w:rsidR="00C24995" w:rsidRPr="00982E24" w:rsidRDefault="00C24995" w:rsidP="00FD5492">
            <w:pPr>
              <w:spacing w:after="0" w:line="20" w:lineRule="atLeast"/>
              <w:rPr>
                <w:sz w:val="15"/>
                <w:szCs w:val="18"/>
              </w:rPr>
            </w:pPr>
            <w:r w:rsidRPr="00982E24">
              <w:rPr>
                <w:sz w:val="15"/>
                <w:szCs w:val="18"/>
              </w:rPr>
              <w:t>Growth poles</w:t>
            </w:r>
          </w:p>
        </w:tc>
        <w:tc>
          <w:tcPr>
            <w:tcW w:w="7372" w:type="dxa"/>
            <w:shd w:val="clear" w:color="auto" w:fill="FFFFFF" w:themeFill="background1"/>
          </w:tcPr>
          <w:p w:rsidR="00C24995" w:rsidRPr="00456A18" w:rsidRDefault="00C24995" w:rsidP="00FD5492">
            <w:pPr>
              <w:spacing w:after="0" w:line="20" w:lineRule="atLeast"/>
              <w:rPr>
                <w:rFonts w:cs="Calibri"/>
                <w:sz w:val="15"/>
                <w:szCs w:val="18"/>
                <w:lang w:eastAsia="fr-FR"/>
              </w:rPr>
            </w:pPr>
            <w:r w:rsidRPr="00456A18">
              <w:rPr>
                <w:rFonts w:cs="Calibri"/>
                <w:sz w:val="15"/>
                <w:szCs w:val="18"/>
                <w:lang w:eastAsia="fr-FR"/>
              </w:rPr>
              <w:t xml:space="preserve">It provides evidence on European secondary cities, their performance and functional roles in different parts of Europe, and the potential policy intervention affecting their performance (see from figure 2 to 2.12). The project includes a case study in the Southern and Eastern Ireland, the region of Cork </w:t>
            </w:r>
            <w:r>
              <w:rPr>
                <w:rFonts w:cs="Calibri"/>
                <w:sz w:val="15"/>
                <w:szCs w:val="18"/>
                <w:lang w:eastAsia="fr-FR"/>
              </w:rPr>
              <w:t>(see 3.9 c</w:t>
            </w:r>
            <w:r w:rsidRPr="00456A18">
              <w:rPr>
                <w:rFonts w:cs="Calibri"/>
                <w:sz w:val="15"/>
                <w:szCs w:val="18"/>
                <w:lang w:eastAsia="fr-FR"/>
              </w:rPr>
              <w:t xml:space="preserve">ase study in the Scientific Report). </w:t>
            </w:r>
          </w:p>
        </w:tc>
      </w:tr>
      <w:tr w:rsidR="00C24995" w:rsidRPr="00982E24" w:rsidTr="00FD5492">
        <w:trPr>
          <w:trHeight w:val="274"/>
        </w:trPr>
        <w:tc>
          <w:tcPr>
            <w:tcW w:w="1134" w:type="dxa"/>
            <w:shd w:val="clear" w:color="auto" w:fill="FFFFFF" w:themeFill="background1"/>
          </w:tcPr>
          <w:p w:rsidR="00C24995" w:rsidRPr="00982E24" w:rsidRDefault="00C24995" w:rsidP="00FD5492">
            <w:pPr>
              <w:spacing w:after="0" w:line="20" w:lineRule="atLeast"/>
              <w:jc w:val="left"/>
              <w:rPr>
                <w:sz w:val="15"/>
                <w:szCs w:val="18"/>
              </w:rPr>
            </w:pPr>
            <w:r w:rsidRPr="00982E24">
              <w:rPr>
                <w:sz w:val="15"/>
                <w:szCs w:val="18"/>
              </w:rPr>
              <w:t xml:space="preserve">PURR </w:t>
            </w:r>
          </w:p>
          <w:p w:rsidR="00C24995" w:rsidRPr="00982E24" w:rsidRDefault="00C24995" w:rsidP="00FD5492">
            <w:pPr>
              <w:spacing w:after="0" w:line="20" w:lineRule="atLeast"/>
              <w:jc w:val="left"/>
              <w:rPr>
                <w:sz w:val="15"/>
                <w:szCs w:val="18"/>
              </w:rPr>
            </w:pPr>
          </w:p>
        </w:tc>
        <w:tc>
          <w:tcPr>
            <w:tcW w:w="1134" w:type="dxa"/>
            <w:shd w:val="clear" w:color="auto" w:fill="FFFFFF" w:themeFill="background1"/>
          </w:tcPr>
          <w:p w:rsidR="00C24995" w:rsidRPr="00982E24" w:rsidRDefault="00C24995" w:rsidP="00FD5492">
            <w:pPr>
              <w:spacing w:after="0" w:line="20" w:lineRule="atLeast"/>
              <w:rPr>
                <w:sz w:val="15"/>
                <w:szCs w:val="18"/>
              </w:rPr>
            </w:pPr>
            <w:r w:rsidRPr="00982E24">
              <w:rPr>
                <w:sz w:val="15"/>
                <w:szCs w:val="18"/>
              </w:rPr>
              <w:t>Rural regions</w:t>
            </w:r>
          </w:p>
        </w:tc>
        <w:tc>
          <w:tcPr>
            <w:tcW w:w="7372" w:type="dxa"/>
            <w:shd w:val="clear" w:color="auto" w:fill="FFFFFF" w:themeFill="background1"/>
            <w:vAlign w:val="center"/>
          </w:tcPr>
          <w:p w:rsidR="00C24995" w:rsidRPr="00982E24" w:rsidRDefault="00C24995" w:rsidP="00FD5492">
            <w:pPr>
              <w:spacing w:after="0" w:line="20" w:lineRule="atLeast"/>
              <w:rPr>
                <w:rFonts w:cs="Calibri"/>
                <w:sz w:val="15"/>
                <w:szCs w:val="18"/>
                <w:lang w:eastAsia="fr-FR"/>
              </w:rPr>
            </w:pPr>
            <w:r w:rsidRPr="00456A18">
              <w:rPr>
                <w:rFonts w:cs="Calibri"/>
                <w:sz w:val="15"/>
                <w:szCs w:val="18"/>
                <w:lang w:eastAsia="fr-FR"/>
              </w:rPr>
              <w:t>It creates and tests new ways to explore the territorial potentials of some rural areas and small and medium-sized towns in peripheral parts of Europe. The case studies reports include Dumfries and Galloway, in Scotland</w:t>
            </w:r>
            <w:r w:rsidRPr="00982E24">
              <w:rPr>
                <w:rFonts w:cs="Calibri"/>
                <w:sz w:val="15"/>
                <w:szCs w:val="18"/>
                <w:lang w:eastAsia="fr-FR"/>
              </w:rPr>
              <w:t>.</w:t>
            </w:r>
          </w:p>
        </w:tc>
      </w:tr>
      <w:tr w:rsidR="00C24995" w:rsidRPr="00982E24" w:rsidTr="00FD5492">
        <w:trPr>
          <w:trHeight w:val="274"/>
        </w:trPr>
        <w:tc>
          <w:tcPr>
            <w:tcW w:w="1134" w:type="dxa"/>
            <w:shd w:val="clear" w:color="auto" w:fill="FFFFFF" w:themeFill="background1"/>
          </w:tcPr>
          <w:p w:rsidR="00C24995" w:rsidRPr="00982E24" w:rsidRDefault="00C24995" w:rsidP="00FD5492">
            <w:pPr>
              <w:spacing w:after="0" w:line="20" w:lineRule="atLeast"/>
              <w:jc w:val="left"/>
              <w:rPr>
                <w:rFonts w:cs="Calibri"/>
                <w:sz w:val="15"/>
                <w:szCs w:val="18"/>
                <w:lang w:eastAsia="fr-FR"/>
              </w:rPr>
            </w:pPr>
            <w:r w:rsidRPr="00982E24">
              <w:rPr>
                <w:rFonts w:cs="Calibri"/>
                <w:sz w:val="15"/>
                <w:szCs w:val="18"/>
                <w:lang w:eastAsia="fr-FR"/>
              </w:rPr>
              <w:t xml:space="preserve">TeDi </w:t>
            </w:r>
          </w:p>
          <w:p w:rsidR="00C24995" w:rsidRPr="00982E24" w:rsidRDefault="00C24995" w:rsidP="00FD5492">
            <w:pPr>
              <w:spacing w:after="0" w:line="20" w:lineRule="atLeast"/>
              <w:jc w:val="left"/>
              <w:rPr>
                <w:rFonts w:cs="Calibri"/>
                <w:sz w:val="15"/>
                <w:szCs w:val="18"/>
                <w:lang w:eastAsia="fr-FR"/>
              </w:rPr>
            </w:pPr>
          </w:p>
        </w:tc>
        <w:tc>
          <w:tcPr>
            <w:tcW w:w="1134" w:type="dxa"/>
            <w:shd w:val="clear" w:color="auto" w:fill="FFFFFF" w:themeFill="background1"/>
          </w:tcPr>
          <w:p w:rsidR="00C24995" w:rsidRPr="00982E24" w:rsidRDefault="00C24995" w:rsidP="00FD5492">
            <w:pPr>
              <w:spacing w:after="0" w:line="20" w:lineRule="atLeast"/>
              <w:rPr>
                <w:rFonts w:cs="Calibri"/>
                <w:sz w:val="15"/>
                <w:szCs w:val="18"/>
                <w:lang w:eastAsia="fr-FR"/>
              </w:rPr>
            </w:pPr>
            <w:r w:rsidRPr="00982E24">
              <w:rPr>
                <w:rFonts w:cs="Calibri"/>
                <w:sz w:val="15"/>
                <w:szCs w:val="18"/>
                <w:lang w:eastAsia="fr-FR"/>
              </w:rPr>
              <w:t>Territorial diversity</w:t>
            </w:r>
          </w:p>
        </w:tc>
        <w:tc>
          <w:tcPr>
            <w:tcW w:w="7372" w:type="dxa"/>
            <w:shd w:val="clear" w:color="auto" w:fill="FFFFFF" w:themeFill="background1"/>
          </w:tcPr>
          <w:p w:rsidR="00C24995" w:rsidRPr="00456A18" w:rsidRDefault="00C24995" w:rsidP="00FD5492">
            <w:pPr>
              <w:spacing w:after="0" w:line="20" w:lineRule="atLeast"/>
              <w:rPr>
                <w:rFonts w:cs="Calibri"/>
                <w:sz w:val="15"/>
                <w:szCs w:val="18"/>
                <w:lang w:eastAsia="fr-FR"/>
              </w:rPr>
            </w:pPr>
            <w:r w:rsidRPr="00456A18">
              <w:rPr>
                <w:rFonts w:cs="Calibri"/>
                <w:sz w:val="15"/>
                <w:szCs w:val="18"/>
                <w:lang w:eastAsia="fr-FR"/>
              </w:rPr>
              <w:t>It provides a better understanding of development processes in territories that are defined as insular, mountainous, sparsely populated or peripheral through the categorisation of “TeDi regions”. Case studies include North Calotte and North Iceland.</w:t>
            </w:r>
          </w:p>
        </w:tc>
      </w:tr>
      <w:tr w:rsidR="00C24995" w:rsidRPr="00982E24" w:rsidTr="00FD5492">
        <w:trPr>
          <w:trHeight w:val="274"/>
        </w:trPr>
        <w:tc>
          <w:tcPr>
            <w:tcW w:w="1134" w:type="dxa"/>
            <w:shd w:val="clear" w:color="auto" w:fill="FFFFFF" w:themeFill="background1"/>
          </w:tcPr>
          <w:p w:rsidR="00C24995" w:rsidRPr="00456A18" w:rsidRDefault="00C24995" w:rsidP="00FD5492">
            <w:pPr>
              <w:spacing w:after="0" w:line="20" w:lineRule="atLeast"/>
              <w:jc w:val="left"/>
              <w:rPr>
                <w:sz w:val="15"/>
                <w:szCs w:val="18"/>
              </w:rPr>
            </w:pPr>
            <w:r w:rsidRPr="00456A18">
              <w:rPr>
                <w:sz w:val="15"/>
                <w:szCs w:val="18"/>
              </w:rPr>
              <w:t>GEOSPECS</w:t>
            </w:r>
          </w:p>
        </w:tc>
        <w:tc>
          <w:tcPr>
            <w:tcW w:w="1134" w:type="dxa"/>
            <w:shd w:val="clear" w:color="auto" w:fill="FFFFFF" w:themeFill="background1"/>
          </w:tcPr>
          <w:p w:rsidR="00C24995" w:rsidRPr="00456A18" w:rsidRDefault="00C24995" w:rsidP="00FD5492">
            <w:pPr>
              <w:spacing w:after="0" w:line="20" w:lineRule="atLeast"/>
              <w:jc w:val="left"/>
              <w:rPr>
                <w:sz w:val="15"/>
                <w:szCs w:val="18"/>
              </w:rPr>
            </w:pPr>
            <w:r w:rsidRPr="00456A18">
              <w:rPr>
                <w:sz w:val="15"/>
                <w:szCs w:val="18"/>
              </w:rPr>
              <w:t>Specific types of territories</w:t>
            </w:r>
          </w:p>
        </w:tc>
        <w:tc>
          <w:tcPr>
            <w:tcW w:w="7372" w:type="dxa"/>
            <w:shd w:val="clear" w:color="auto" w:fill="FFFFFF" w:themeFill="background1"/>
          </w:tcPr>
          <w:p w:rsidR="00C24995" w:rsidRPr="00982E24" w:rsidRDefault="00C24995" w:rsidP="00FD5492">
            <w:pPr>
              <w:spacing w:after="0" w:line="20" w:lineRule="atLeast"/>
              <w:rPr>
                <w:rFonts w:cs="Calibri"/>
                <w:sz w:val="15"/>
                <w:szCs w:val="18"/>
                <w:lang w:eastAsia="fr-FR"/>
              </w:rPr>
            </w:pPr>
            <w:r w:rsidRPr="00982E24">
              <w:rPr>
                <w:rFonts w:cs="Calibri"/>
                <w:sz w:val="15"/>
                <w:szCs w:val="18"/>
                <w:lang w:eastAsia="fr-FR"/>
              </w:rPr>
              <w:t xml:space="preserve">It provides evidence on the challenges and opportunities of specific types of territories (e.g. border areas, highly or sparsely populated areas). The </w:t>
            </w:r>
            <w:r>
              <w:rPr>
                <w:rFonts w:cs="Calibri"/>
                <w:sz w:val="15"/>
                <w:szCs w:val="18"/>
                <w:lang w:eastAsia="fr-FR"/>
              </w:rPr>
              <w:t xml:space="preserve">report includes </w:t>
            </w:r>
            <w:r w:rsidRPr="00982E24">
              <w:rPr>
                <w:rFonts w:cs="Calibri"/>
                <w:sz w:val="15"/>
                <w:szCs w:val="18"/>
                <w:lang w:eastAsia="fr-FR"/>
              </w:rPr>
              <w:t xml:space="preserve">sections on sparsely populated areas in the Nordic Countries. </w:t>
            </w:r>
          </w:p>
        </w:tc>
      </w:tr>
      <w:tr w:rsidR="00C24995" w:rsidRPr="00982E24" w:rsidTr="00FD5492">
        <w:trPr>
          <w:trHeight w:val="274"/>
        </w:trPr>
        <w:tc>
          <w:tcPr>
            <w:tcW w:w="1134" w:type="dxa"/>
            <w:shd w:val="clear" w:color="auto" w:fill="FFFFFF" w:themeFill="background1"/>
          </w:tcPr>
          <w:p w:rsidR="00C24995" w:rsidRPr="00456A18" w:rsidRDefault="00C24995" w:rsidP="00FD5492">
            <w:pPr>
              <w:spacing w:after="0" w:line="20" w:lineRule="atLeast"/>
              <w:jc w:val="left"/>
              <w:rPr>
                <w:sz w:val="15"/>
                <w:szCs w:val="18"/>
              </w:rPr>
            </w:pPr>
            <w:r w:rsidRPr="00456A18">
              <w:rPr>
                <w:sz w:val="15"/>
                <w:szCs w:val="18"/>
              </w:rPr>
              <w:t>KIT</w:t>
            </w:r>
          </w:p>
        </w:tc>
        <w:tc>
          <w:tcPr>
            <w:tcW w:w="1134" w:type="dxa"/>
            <w:shd w:val="clear" w:color="auto" w:fill="FFFFFF" w:themeFill="background1"/>
          </w:tcPr>
          <w:p w:rsidR="00C24995" w:rsidRPr="00456A18" w:rsidRDefault="00C24995" w:rsidP="00FD5492">
            <w:pPr>
              <w:spacing w:after="0" w:line="20" w:lineRule="atLeast"/>
              <w:jc w:val="left"/>
              <w:rPr>
                <w:sz w:val="15"/>
                <w:szCs w:val="18"/>
              </w:rPr>
            </w:pPr>
            <w:r w:rsidRPr="00456A18">
              <w:rPr>
                <w:sz w:val="15"/>
                <w:szCs w:val="18"/>
              </w:rPr>
              <w:t>Innovation</w:t>
            </w:r>
          </w:p>
        </w:tc>
        <w:tc>
          <w:tcPr>
            <w:tcW w:w="7372" w:type="dxa"/>
            <w:shd w:val="clear" w:color="auto" w:fill="FFFFFF" w:themeFill="background1"/>
          </w:tcPr>
          <w:p w:rsidR="00C24995" w:rsidRPr="00456A18" w:rsidRDefault="00C24995" w:rsidP="00FD5492">
            <w:pPr>
              <w:spacing w:after="0" w:line="20" w:lineRule="atLeast"/>
              <w:rPr>
                <w:rFonts w:cs="Calibri"/>
                <w:sz w:val="15"/>
                <w:szCs w:val="18"/>
                <w:lang w:eastAsia="fr-FR"/>
              </w:rPr>
            </w:pPr>
            <w:r w:rsidRPr="00456A18">
              <w:rPr>
                <w:rFonts w:cs="Calibri"/>
                <w:sz w:val="15"/>
                <w:szCs w:val="18"/>
                <w:lang w:eastAsia="fr-FR"/>
              </w:rPr>
              <w:t>It describes patterns and potentials of regions in terms of knowledge and innovation economy and explores development opportunities (see from map 3.1.1 to 4.4.1). It provides some case studies on Cambridge, Oxford, Cardiff and West Wales (see Draft Final Scientific Report, Vol. 2, 3).</w:t>
            </w:r>
          </w:p>
        </w:tc>
      </w:tr>
    </w:tbl>
    <w:p w:rsidR="00C24995" w:rsidRDefault="00C24995" w:rsidP="00C24995">
      <w:r>
        <w:t>Furthermore, some of overall ESPON products of particular interest for territorial cooperation are:</w:t>
      </w:r>
    </w:p>
    <w:p w:rsidR="00C24995" w:rsidRDefault="00C24995" w:rsidP="00C24995">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C24995" w:rsidRDefault="00C24995" w:rsidP="00C24995">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C24995" w:rsidRPr="00A33083" w:rsidRDefault="00C24995" w:rsidP="00C24995">
      <w:pPr>
        <w:pStyle w:val="ListParagraph"/>
        <w:numPr>
          <w:ilvl w:val="0"/>
          <w:numId w:val="4"/>
        </w:numPr>
      </w:pPr>
      <w:r w:rsidRPr="00112693">
        <w:rPr>
          <w:b/>
        </w:rPr>
        <w:t>ESPON 2013 Database</w:t>
      </w:r>
      <w:r w:rsidRPr="00A33083">
        <w:t xml:space="preserve"> provides regional information provided by </w:t>
      </w:r>
      <w:hyperlink r:id="rId25" w:history="1">
        <w:r w:rsidRPr="00A33083">
          <w:t>ESPON projects</w:t>
        </w:r>
      </w:hyperlink>
      <w:r w:rsidRPr="00A33083">
        <w:t xml:space="preserve"> and </w:t>
      </w:r>
      <w:hyperlink r:id="rId26" w:history="1">
        <w:r w:rsidRPr="00A33083">
          <w:t>EUROSTAT</w:t>
        </w:r>
      </w:hyperlink>
      <w:r w:rsidRPr="00A33083">
        <w:t xml:space="preserve">. </w:t>
      </w:r>
    </w:p>
    <w:p w:rsidR="00C24995" w:rsidRDefault="00C24995" w:rsidP="00C24995">
      <w:pPr>
        <w:pStyle w:val="ListParagraph"/>
        <w:numPr>
          <w:ilvl w:val="0"/>
          <w:numId w:val="4"/>
        </w:numPr>
      </w:pPr>
      <w:r w:rsidRPr="00112693">
        <w:rPr>
          <w:b/>
        </w:rPr>
        <w:t>ESPON Hyperaltas</w:t>
      </w:r>
      <w:r w:rsidRPr="000B4718">
        <w:t xml:space="preserve"> </w:t>
      </w:r>
      <w:r>
        <w:t xml:space="preserve">allows </w:t>
      </w:r>
      <w:r w:rsidR="00CD5018">
        <w:t>comparing and analysing</w:t>
      </w:r>
      <w:r>
        <w:t xml:space="preserve"> a</w:t>
      </w:r>
      <w:r w:rsidRPr="000B4718">
        <w:t xml:space="preserve"> region’s relative position at European, national and local scale for a </w:t>
      </w:r>
      <w:r>
        <w:t>wide range of</w:t>
      </w:r>
      <w:r w:rsidRPr="000B4718">
        <w:t xml:space="preserve"> criteria.</w:t>
      </w:r>
    </w:p>
    <w:p w:rsidR="00C24995" w:rsidRPr="00CD642B" w:rsidRDefault="00C24995" w:rsidP="00C24995">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C24995" w:rsidRDefault="00C24995" w:rsidP="00C24995">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919FC" w:rsidRDefault="00C24995" w:rsidP="00C24995">
      <w:pPr>
        <w:jc w:val="center"/>
        <w:rPr>
          <w:b/>
        </w:rPr>
      </w:pPr>
      <w:r w:rsidRPr="00CD642B">
        <w:t>All ESPON reports and tools are freely available at</w:t>
      </w:r>
      <w:r>
        <w:br/>
      </w:r>
      <w:hyperlink r:id="rId27" w:history="1">
        <w:r w:rsidR="009919FC" w:rsidRPr="00855A1C">
          <w:rPr>
            <w:rStyle w:val="Hyperlink"/>
            <w:b/>
          </w:rPr>
          <w:t>www.espon.eu</w:t>
        </w:r>
      </w:hyperlink>
    </w:p>
    <w:p w:rsidR="003C5D09" w:rsidRPr="003C5D09" w:rsidRDefault="009919FC" w:rsidP="006144CC">
      <w:pPr>
        <w:spacing w:after="0" w:line="240" w:lineRule="auto"/>
        <w:jc w:val="left"/>
      </w:pPr>
      <w:r>
        <w:rPr>
          <w:b/>
        </w:rPr>
        <w:br w:type="page"/>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EC09E9" w:rsidRPr="00EC09E9">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156663" w:rsidRDefault="00156663" w:rsidP="00BC65E1">
                  <w:pPr>
                    <w:rPr>
                      <w:rFonts w:ascii="Arial" w:hAnsi="Arial" w:cs="Arial"/>
                      <w:szCs w:val="20"/>
                    </w:rPr>
                  </w:pPr>
                </w:p>
              </w:txbxContent>
            </v:textbox>
          </v:shape>
        </w:pict>
      </w:r>
      <w:r w:rsidR="00EC09E9" w:rsidRPr="00EC09E9">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156663" w:rsidRPr="00FB783A" w:rsidRDefault="00156663"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663" w:rsidRDefault="00156663">
      <w:r>
        <w:separator/>
      </w:r>
    </w:p>
  </w:endnote>
  <w:endnote w:type="continuationSeparator" w:id="0">
    <w:p w:rsidR="00156663" w:rsidRDefault="00156663">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663" w:rsidRDefault="00156663" w:rsidP="00BC65E1">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56663" w:rsidRDefault="00156663">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663" w:rsidRPr="00A15B61" w:rsidRDefault="00156663" w:rsidP="00BC65E1">
    <w:pPr>
      <w:pStyle w:val="Footer"/>
      <w:framePr w:wrap="around" w:vAnchor="text" w:hAnchor="margin" w:xAlign="right" w:y="1"/>
      <w:rPr>
        <w:rStyle w:val="PageNumber"/>
      </w:rPr>
    </w:pPr>
    <w:r w:rsidRPr="00A15B61">
      <w:rPr>
        <w:rStyle w:val="PageNumber"/>
        <w:szCs w:val="20"/>
      </w:rPr>
      <w:fldChar w:fldCharType="begin"/>
    </w:r>
    <w:r>
      <w:rPr>
        <w:rStyle w:val="PageNumber"/>
        <w:szCs w:val="20"/>
      </w:rPr>
      <w:instrText>PAGE</w:instrText>
    </w:r>
    <w:r w:rsidRPr="00A15B61">
      <w:rPr>
        <w:rStyle w:val="PageNumber"/>
        <w:szCs w:val="20"/>
      </w:rPr>
      <w:instrText xml:space="preserve">  </w:instrText>
    </w:r>
    <w:r w:rsidRPr="00A15B61">
      <w:rPr>
        <w:rStyle w:val="PageNumber"/>
        <w:szCs w:val="20"/>
      </w:rPr>
      <w:fldChar w:fldCharType="separate"/>
    </w:r>
    <w:r>
      <w:rPr>
        <w:rStyle w:val="PageNumber"/>
        <w:noProof/>
        <w:szCs w:val="20"/>
      </w:rPr>
      <w:t>1</w:t>
    </w:r>
    <w:r w:rsidRPr="00A15B61">
      <w:rPr>
        <w:rStyle w:val="PageNumber"/>
        <w:szCs w:val="20"/>
      </w:rPr>
      <w:fldChar w:fldCharType="end"/>
    </w:r>
  </w:p>
  <w:p w:rsidR="00156663" w:rsidRPr="00A15B61" w:rsidRDefault="00156663"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663" w:rsidRPr="00A15B61" w:rsidRDefault="00156663" w:rsidP="00BC65E1">
    <w:pPr>
      <w:pStyle w:val="Footer"/>
      <w:framePr w:wrap="around" w:vAnchor="text" w:hAnchor="margin" w:xAlign="right" w:y="1"/>
      <w:rPr>
        <w:rStyle w:val="PageNumber"/>
      </w:rPr>
    </w:pPr>
    <w:r w:rsidRPr="00A15B61">
      <w:rPr>
        <w:rStyle w:val="PageNumber"/>
        <w:szCs w:val="20"/>
      </w:rPr>
      <w:fldChar w:fldCharType="begin"/>
    </w:r>
    <w:r>
      <w:rPr>
        <w:rStyle w:val="PageNumber"/>
        <w:szCs w:val="20"/>
      </w:rPr>
      <w:instrText>PAGE</w:instrText>
    </w:r>
    <w:r w:rsidRPr="00A15B61">
      <w:rPr>
        <w:rStyle w:val="PageNumber"/>
        <w:szCs w:val="20"/>
      </w:rPr>
      <w:instrText xml:space="preserve">  </w:instrText>
    </w:r>
    <w:r w:rsidRPr="00A15B61">
      <w:rPr>
        <w:rStyle w:val="PageNumber"/>
        <w:szCs w:val="20"/>
      </w:rPr>
      <w:fldChar w:fldCharType="separate"/>
    </w:r>
    <w:r w:rsidR="006722DE">
      <w:rPr>
        <w:rStyle w:val="PageNumber"/>
        <w:noProof/>
        <w:szCs w:val="20"/>
      </w:rPr>
      <w:t>15</w:t>
    </w:r>
    <w:r w:rsidRPr="00A15B61">
      <w:rPr>
        <w:rStyle w:val="PageNumber"/>
        <w:szCs w:val="20"/>
      </w:rPr>
      <w:fldChar w:fldCharType="end"/>
    </w:r>
  </w:p>
  <w:p w:rsidR="00156663" w:rsidRPr="00A15B61" w:rsidRDefault="00156663"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663" w:rsidRDefault="00156663">
      <w:r>
        <w:separator/>
      </w:r>
    </w:p>
  </w:footnote>
  <w:footnote w:type="continuationSeparator" w:id="0">
    <w:p w:rsidR="00156663" w:rsidRDefault="001566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663" w:rsidRDefault="00156663">
    <w:pPr>
      <w:pStyle w:val="Header"/>
    </w:pPr>
    <w:r w:rsidRPr="00EC09E9">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156663" w:rsidRDefault="00156663"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156663" w:rsidRPr="00721B03" w:rsidRDefault="00156663"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663" w:rsidRDefault="001566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colormru v:ext="edit" colors="#00c"/>
      <o:colormenu v:ext="edit" strokecolor="#0070c0"/>
    </o:shapedefaults>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37BC"/>
    <w:rsid w:val="00016919"/>
    <w:rsid w:val="000172BC"/>
    <w:rsid w:val="00020978"/>
    <w:rsid w:val="0002197F"/>
    <w:rsid w:val="00021A06"/>
    <w:rsid w:val="00024B2A"/>
    <w:rsid w:val="00030CE4"/>
    <w:rsid w:val="00031AEC"/>
    <w:rsid w:val="00032745"/>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3607"/>
    <w:rsid w:val="00085BAD"/>
    <w:rsid w:val="00086387"/>
    <w:rsid w:val="000A02B0"/>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C64"/>
    <w:rsid w:val="000D7CC4"/>
    <w:rsid w:val="000E592C"/>
    <w:rsid w:val="000E6CC8"/>
    <w:rsid w:val="000E76EB"/>
    <w:rsid w:val="000F1BA2"/>
    <w:rsid w:val="000F2140"/>
    <w:rsid w:val="000F4706"/>
    <w:rsid w:val="00105B9D"/>
    <w:rsid w:val="001120BB"/>
    <w:rsid w:val="00112693"/>
    <w:rsid w:val="00115A16"/>
    <w:rsid w:val="001245F9"/>
    <w:rsid w:val="00124BDE"/>
    <w:rsid w:val="0012533B"/>
    <w:rsid w:val="001260F4"/>
    <w:rsid w:val="00127104"/>
    <w:rsid w:val="00133602"/>
    <w:rsid w:val="00134DC7"/>
    <w:rsid w:val="0013600B"/>
    <w:rsid w:val="00150A5A"/>
    <w:rsid w:val="00150FCB"/>
    <w:rsid w:val="00151954"/>
    <w:rsid w:val="00152974"/>
    <w:rsid w:val="00153108"/>
    <w:rsid w:val="00156663"/>
    <w:rsid w:val="0015691A"/>
    <w:rsid w:val="00162FF6"/>
    <w:rsid w:val="0016435C"/>
    <w:rsid w:val="00166282"/>
    <w:rsid w:val="00167826"/>
    <w:rsid w:val="00172B99"/>
    <w:rsid w:val="00177F91"/>
    <w:rsid w:val="00180D67"/>
    <w:rsid w:val="00182673"/>
    <w:rsid w:val="001838FE"/>
    <w:rsid w:val="00184B93"/>
    <w:rsid w:val="0018622F"/>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4CA6"/>
    <w:rsid w:val="001C7CD0"/>
    <w:rsid w:val="001D0F57"/>
    <w:rsid w:val="001D187B"/>
    <w:rsid w:val="001D594F"/>
    <w:rsid w:val="001E0675"/>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63BC"/>
    <w:rsid w:val="002371D8"/>
    <w:rsid w:val="0023799F"/>
    <w:rsid w:val="00253237"/>
    <w:rsid w:val="0025373C"/>
    <w:rsid w:val="00256B42"/>
    <w:rsid w:val="0026077F"/>
    <w:rsid w:val="00264534"/>
    <w:rsid w:val="00265996"/>
    <w:rsid w:val="00274710"/>
    <w:rsid w:val="00276DA6"/>
    <w:rsid w:val="00281A82"/>
    <w:rsid w:val="00282854"/>
    <w:rsid w:val="00285BF3"/>
    <w:rsid w:val="002873E4"/>
    <w:rsid w:val="002923B9"/>
    <w:rsid w:val="00293ABA"/>
    <w:rsid w:val="00293DE9"/>
    <w:rsid w:val="00294042"/>
    <w:rsid w:val="002949F4"/>
    <w:rsid w:val="002973FF"/>
    <w:rsid w:val="002977F3"/>
    <w:rsid w:val="002A2C96"/>
    <w:rsid w:val="002A7776"/>
    <w:rsid w:val="002B1929"/>
    <w:rsid w:val="002B51BA"/>
    <w:rsid w:val="002B51CA"/>
    <w:rsid w:val="002B71A8"/>
    <w:rsid w:val="002C06ED"/>
    <w:rsid w:val="002C2CBC"/>
    <w:rsid w:val="002C35B9"/>
    <w:rsid w:val="002C4473"/>
    <w:rsid w:val="002C780D"/>
    <w:rsid w:val="002D1443"/>
    <w:rsid w:val="002D28DE"/>
    <w:rsid w:val="002D3185"/>
    <w:rsid w:val="002D429C"/>
    <w:rsid w:val="002D5B13"/>
    <w:rsid w:val="002E0490"/>
    <w:rsid w:val="002E20E5"/>
    <w:rsid w:val="002E3524"/>
    <w:rsid w:val="002E529A"/>
    <w:rsid w:val="002E619E"/>
    <w:rsid w:val="002F1D75"/>
    <w:rsid w:val="002F4B38"/>
    <w:rsid w:val="002F713F"/>
    <w:rsid w:val="00303833"/>
    <w:rsid w:val="00304555"/>
    <w:rsid w:val="003052B2"/>
    <w:rsid w:val="0030699A"/>
    <w:rsid w:val="00322B33"/>
    <w:rsid w:val="003253E2"/>
    <w:rsid w:val="00331A01"/>
    <w:rsid w:val="003351B4"/>
    <w:rsid w:val="00337519"/>
    <w:rsid w:val="00337872"/>
    <w:rsid w:val="00344591"/>
    <w:rsid w:val="00351255"/>
    <w:rsid w:val="00351563"/>
    <w:rsid w:val="003526D5"/>
    <w:rsid w:val="00352B1D"/>
    <w:rsid w:val="00352D76"/>
    <w:rsid w:val="00353B5C"/>
    <w:rsid w:val="00353E8C"/>
    <w:rsid w:val="0035504D"/>
    <w:rsid w:val="00362CD8"/>
    <w:rsid w:val="00362D4C"/>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B2F0B"/>
    <w:rsid w:val="003B78E6"/>
    <w:rsid w:val="003C112D"/>
    <w:rsid w:val="003C261B"/>
    <w:rsid w:val="003C354A"/>
    <w:rsid w:val="003C3688"/>
    <w:rsid w:val="003C5D09"/>
    <w:rsid w:val="003D22E8"/>
    <w:rsid w:val="003D2A84"/>
    <w:rsid w:val="003D3487"/>
    <w:rsid w:val="003D44D2"/>
    <w:rsid w:val="003D4618"/>
    <w:rsid w:val="003D5114"/>
    <w:rsid w:val="003D5CF5"/>
    <w:rsid w:val="003E161E"/>
    <w:rsid w:val="003E1F66"/>
    <w:rsid w:val="003E2114"/>
    <w:rsid w:val="003E7006"/>
    <w:rsid w:val="003E7A75"/>
    <w:rsid w:val="003F196C"/>
    <w:rsid w:val="003F6066"/>
    <w:rsid w:val="00401DDB"/>
    <w:rsid w:val="004024D3"/>
    <w:rsid w:val="004043C4"/>
    <w:rsid w:val="004047DE"/>
    <w:rsid w:val="00404925"/>
    <w:rsid w:val="004054C3"/>
    <w:rsid w:val="0040760B"/>
    <w:rsid w:val="00410A29"/>
    <w:rsid w:val="004122A0"/>
    <w:rsid w:val="004173E4"/>
    <w:rsid w:val="004177FC"/>
    <w:rsid w:val="0042391C"/>
    <w:rsid w:val="0042502E"/>
    <w:rsid w:val="004277D0"/>
    <w:rsid w:val="00432211"/>
    <w:rsid w:val="00433090"/>
    <w:rsid w:val="004353CB"/>
    <w:rsid w:val="0044029A"/>
    <w:rsid w:val="0044604E"/>
    <w:rsid w:val="00447210"/>
    <w:rsid w:val="00452144"/>
    <w:rsid w:val="00454825"/>
    <w:rsid w:val="00456E90"/>
    <w:rsid w:val="004575D3"/>
    <w:rsid w:val="004604F3"/>
    <w:rsid w:val="0046572E"/>
    <w:rsid w:val="00467598"/>
    <w:rsid w:val="00470A8B"/>
    <w:rsid w:val="00472744"/>
    <w:rsid w:val="00473131"/>
    <w:rsid w:val="00475DCB"/>
    <w:rsid w:val="00476B39"/>
    <w:rsid w:val="004778EB"/>
    <w:rsid w:val="00477CEB"/>
    <w:rsid w:val="0048039B"/>
    <w:rsid w:val="004854D1"/>
    <w:rsid w:val="00485672"/>
    <w:rsid w:val="004900DF"/>
    <w:rsid w:val="004933BE"/>
    <w:rsid w:val="004A0B28"/>
    <w:rsid w:val="004A0E81"/>
    <w:rsid w:val="004A1DB8"/>
    <w:rsid w:val="004A4AC7"/>
    <w:rsid w:val="004A52D3"/>
    <w:rsid w:val="004A730F"/>
    <w:rsid w:val="004B03FD"/>
    <w:rsid w:val="004B2204"/>
    <w:rsid w:val="004B2360"/>
    <w:rsid w:val="004B2688"/>
    <w:rsid w:val="004B33EC"/>
    <w:rsid w:val="004B3A9D"/>
    <w:rsid w:val="004B48CD"/>
    <w:rsid w:val="004C4307"/>
    <w:rsid w:val="004C462E"/>
    <w:rsid w:val="004C71AB"/>
    <w:rsid w:val="004D2437"/>
    <w:rsid w:val="004D6E70"/>
    <w:rsid w:val="004E011B"/>
    <w:rsid w:val="004E11D0"/>
    <w:rsid w:val="004E39BD"/>
    <w:rsid w:val="004E3B1D"/>
    <w:rsid w:val="004E68A8"/>
    <w:rsid w:val="004F0F17"/>
    <w:rsid w:val="004F26B8"/>
    <w:rsid w:val="004F4013"/>
    <w:rsid w:val="004F6946"/>
    <w:rsid w:val="005010F3"/>
    <w:rsid w:val="005023B0"/>
    <w:rsid w:val="00502D0D"/>
    <w:rsid w:val="00502E0A"/>
    <w:rsid w:val="00505959"/>
    <w:rsid w:val="005070C8"/>
    <w:rsid w:val="00511059"/>
    <w:rsid w:val="005131EA"/>
    <w:rsid w:val="00515BAD"/>
    <w:rsid w:val="00520876"/>
    <w:rsid w:val="00524215"/>
    <w:rsid w:val="00526E5A"/>
    <w:rsid w:val="005322AA"/>
    <w:rsid w:val="005348B6"/>
    <w:rsid w:val="00541834"/>
    <w:rsid w:val="0054272F"/>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2C35"/>
    <w:rsid w:val="00585345"/>
    <w:rsid w:val="00593AD0"/>
    <w:rsid w:val="00593B7A"/>
    <w:rsid w:val="00595161"/>
    <w:rsid w:val="005967A2"/>
    <w:rsid w:val="00596F21"/>
    <w:rsid w:val="00597872"/>
    <w:rsid w:val="005A3E20"/>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0D48"/>
    <w:rsid w:val="005F24DD"/>
    <w:rsid w:val="0060091E"/>
    <w:rsid w:val="006035F3"/>
    <w:rsid w:val="00610DAB"/>
    <w:rsid w:val="00611F0B"/>
    <w:rsid w:val="006144CC"/>
    <w:rsid w:val="0061660C"/>
    <w:rsid w:val="006166FD"/>
    <w:rsid w:val="00616DE9"/>
    <w:rsid w:val="0061757F"/>
    <w:rsid w:val="006326AB"/>
    <w:rsid w:val="00633FE2"/>
    <w:rsid w:val="0063504F"/>
    <w:rsid w:val="00643649"/>
    <w:rsid w:val="006441ED"/>
    <w:rsid w:val="00645CD2"/>
    <w:rsid w:val="0065085F"/>
    <w:rsid w:val="0065199C"/>
    <w:rsid w:val="00654361"/>
    <w:rsid w:val="0065695B"/>
    <w:rsid w:val="00657472"/>
    <w:rsid w:val="00657A40"/>
    <w:rsid w:val="00657E48"/>
    <w:rsid w:val="00660A8B"/>
    <w:rsid w:val="0066206E"/>
    <w:rsid w:val="0066301D"/>
    <w:rsid w:val="00664ACE"/>
    <w:rsid w:val="00664B05"/>
    <w:rsid w:val="006722DE"/>
    <w:rsid w:val="006743AD"/>
    <w:rsid w:val="0068242A"/>
    <w:rsid w:val="00682613"/>
    <w:rsid w:val="00682B57"/>
    <w:rsid w:val="00683DEE"/>
    <w:rsid w:val="006847A3"/>
    <w:rsid w:val="00690277"/>
    <w:rsid w:val="0069219F"/>
    <w:rsid w:val="00692689"/>
    <w:rsid w:val="00695762"/>
    <w:rsid w:val="006A17A6"/>
    <w:rsid w:val="006A1BF1"/>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449B"/>
    <w:rsid w:val="006E5E38"/>
    <w:rsid w:val="006E618B"/>
    <w:rsid w:val="006F0BC4"/>
    <w:rsid w:val="006F17FA"/>
    <w:rsid w:val="006F222E"/>
    <w:rsid w:val="006F49F1"/>
    <w:rsid w:val="006F4E16"/>
    <w:rsid w:val="00702CB8"/>
    <w:rsid w:val="00707885"/>
    <w:rsid w:val="0071023A"/>
    <w:rsid w:val="007107A7"/>
    <w:rsid w:val="007119D4"/>
    <w:rsid w:val="00711A6A"/>
    <w:rsid w:val="00712430"/>
    <w:rsid w:val="00713DE8"/>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012C"/>
    <w:rsid w:val="0078171A"/>
    <w:rsid w:val="00782183"/>
    <w:rsid w:val="007831EE"/>
    <w:rsid w:val="00783B76"/>
    <w:rsid w:val="00783F35"/>
    <w:rsid w:val="007842F4"/>
    <w:rsid w:val="00787861"/>
    <w:rsid w:val="00791D68"/>
    <w:rsid w:val="0079272B"/>
    <w:rsid w:val="007949EF"/>
    <w:rsid w:val="0079633F"/>
    <w:rsid w:val="0079657F"/>
    <w:rsid w:val="00796C3C"/>
    <w:rsid w:val="007A48EF"/>
    <w:rsid w:val="007A4C3D"/>
    <w:rsid w:val="007A4E31"/>
    <w:rsid w:val="007A508C"/>
    <w:rsid w:val="007A5C06"/>
    <w:rsid w:val="007A5D52"/>
    <w:rsid w:val="007A5E35"/>
    <w:rsid w:val="007B19A0"/>
    <w:rsid w:val="007B3652"/>
    <w:rsid w:val="007B59B6"/>
    <w:rsid w:val="007B7ADB"/>
    <w:rsid w:val="007C52E9"/>
    <w:rsid w:val="007D645C"/>
    <w:rsid w:val="007E07D5"/>
    <w:rsid w:val="007E2555"/>
    <w:rsid w:val="007E3756"/>
    <w:rsid w:val="007F16DF"/>
    <w:rsid w:val="007F2A06"/>
    <w:rsid w:val="008044DD"/>
    <w:rsid w:val="00804BA1"/>
    <w:rsid w:val="00805E5D"/>
    <w:rsid w:val="00812490"/>
    <w:rsid w:val="00812ECD"/>
    <w:rsid w:val="008132AD"/>
    <w:rsid w:val="00823513"/>
    <w:rsid w:val="0082385D"/>
    <w:rsid w:val="0082390C"/>
    <w:rsid w:val="00823FCF"/>
    <w:rsid w:val="0082513C"/>
    <w:rsid w:val="00827112"/>
    <w:rsid w:val="00827496"/>
    <w:rsid w:val="008321A8"/>
    <w:rsid w:val="008346A8"/>
    <w:rsid w:val="00835D9A"/>
    <w:rsid w:val="00835EF3"/>
    <w:rsid w:val="00840DE7"/>
    <w:rsid w:val="008419E4"/>
    <w:rsid w:val="00844319"/>
    <w:rsid w:val="008454F5"/>
    <w:rsid w:val="00846CF1"/>
    <w:rsid w:val="00847741"/>
    <w:rsid w:val="00852971"/>
    <w:rsid w:val="00855241"/>
    <w:rsid w:val="008555CF"/>
    <w:rsid w:val="00856EFD"/>
    <w:rsid w:val="00857F3C"/>
    <w:rsid w:val="00871839"/>
    <w:rsid w:val="00875551"/>
    <w:rsid w:val="008764FA"/>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77E"/>
    <w:rsid w:val="008B582B"/>
    <w:rsid w:val="008B5BDF"/>
    <w:rsid w:val="008C218A"/>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15149"/>
    <w:rsid w:val="00921D38"/>
    <w:rsid w:val="0092562C"/>
    <w:rsid w:val="00927D4F"/>
    <w:rsid w:val="00930989"/>
    <w:rsid w:val="00931A61"/>
    <w:rsid w:val="00932CE3"/>
    <w:rsid w:val="00933783"/>
    <w:rsid w:val="0093778A"/>
    <w:rsid w:val="0094059F"/>
    <w:rsid w:val="00941D1E"/>
    <w:rsid w:val="00943F1C"/>
    <w:rsid w:val="00944EBE"/>
    <w:rsid w:val="00946375"/>
    <w:rsid w:val="00951B33"/>
    <w:rsid w:val="00951F28"/>
    <w:rsid w:val="00952C12"/>
    <w:rsid w:val="009540EB"/>
    <w:rsid w:val="009607D7"/>
    <w:rsid w:val="00971C9B"/>
    <w:rsid w:val="009727D3"/>
    <w:rsid w:val="009729A4"/>
    <w:rsid w:val="00973416"/>
    <w:rsid w:val="00973678"/>
    <w:rsid w:val="00974016"/>
    <w:rsid w:val="00974649"/>
    <w:rsid w:val="00977AED"/>
    <w:rsid w:val="00982601"/>
    <w:rsid w:val="00983AB6"/>
    <w:rsid w:val="00985DB1"/>
    <w:rsid w:val="009919FC"/>
    <w:rsid w:val="00995CBE"/>
    <w:rsid w:val="0099613A"/>
    <w:rsid w:val="00997518"/>
    <w:rsid w:val="009A379F"/>
    <w:rsid w:val="009A768F"/>
    <w:rsid w:val="009A7921"/>
    <w:rsid w:val="009B20D3"/>
    <w:rsid w:val="009B4050"/>
    <w:rsid w:val="009B592C"/>
    <w:rsid w:val="009C0409"/>
    <w:rsid w:val="009C12E9"/>
    <w:rsid w:val="009C2CD8"/>
    <w:rsid w:val="009C7E18"/>
    <w:rsid w:val="009D1667"/>
    <w:rsid w:val="009D1D06"/>
    <w:rsid w:val="009D2483"/>
    <w:rsid w:val="009D2E8A"/>
    <w:rsid w:val="009D3B18"/>
    <w:rsid w:val="009D3F39"/>
    <w:rsid w:val="009D457D"/>
    <w:rsid w:val="009D681C"/>
    <w:rsid w:val="009E0BD5"/>
    <w:rsid w:val="009E1C7F"/>
    <w:rsid w:val="009E361D"/>
    <w:rsid w:val="009E62EA"/>
    <w:rsid w:val="009E70A1"/>
    <w:rsid w:val="009F0AF7"/>
    <w:rsid w:val="009F21F0"/>
    <w:rsid w:val="009F2583"/>
    <w:rsid w:val="009F3D83"/>
    <w:rsid w:val="009F7417"/>
    <w:rsid w:val="009F77A8"/>
    <w:rsid w:val="00A02FD6"/>
    <w:rsid w:val="00A1042B"/>
    <w:rsid w:val="00A12916"/>
    <w:rsid w:val="00A13E7F"/>
    <w:rsid w:val="00A14BAC"/>
    <w:rsid w:val="00A15B61"/>
    <w:rsid w:val="00A16062"/>
    <w:rsid w:val="00A2166F"/>
    <w:rsid w:val="00A21C1D"/>
    <w:rsid w:val="00A24B55"/>
    <w:rsid w:val="00A265BE"/>
    <w:rsid w:val="00A304AA"/>
    <w:rsid w:val="00A31617"/>
    <w:rsid w:val="00A33083"/>
    <w:rsid w:val="00A3436F"/>
    <w:rsid w:val="00A37956"/>
    <w:rsid w:val="00A413E0"/>
    <w:rsid w:val="00A433AA"/>
    <w:rsid w:val="00A447B6"/>
    <w:rsid w:val="00A44D2B"/>
    <w:rsid w:val="00A457AA"/>
    <w:rsid w:val="00A46196"/>
    <w:rsid w:val="00A47168"/>
    <w:rsid w:val="00A55855"/>
    <w:rsid w:val="00A61620"/>
    <w:rsid w:val="00A62876"/>
    <w:rsid w:val="00A67899"/>
    <w:rsid w:val="00A7369A"/>
    <w:rsid w:val="00A73F5F"/>
    <w:rsid w:val="00A76236"/>
    <w:rsid w:val="00A76F72"/>
    <w:rsid w:val="00A836AD"/>
    <w:rsid w:val="00A90DDB"/>
    <w:rsid w:val="00A91FBB"/>
    <w:rsid w:val="00A9486C"/>
    <w:rsid w:val="00A967C7"/>
    <w:rsid w:val="00A9708D"/>
    <w:rsid w:val="00AA2C67"/>
    <w:rsid w:val="00AA4952"/>
    <w:rsid w:val="00AA5486"/>
    <w:rsid w:val="00AB0F46"/>
    <w:rsid w:val="00AB16F9"/>
    <w:rsid w:val="00AB23D7"/>
    <w:rsid w:val="00AB243A"/>
    <w:rsid w:val="00AB5BB9"/>
    <w:rsid w:val="00AB6431"/>
    <w:rsid w:val="00AC125B"/>
    <w:rsid w:val="00AC3144"/>
    <w:rsid w:val="00AC52D7"/>
    <w:rsid w:val="00AC55B7"/>
    <w:rsid w:val="00AC7369"/>
    <w:rsid w:val="00AD1095"/>
    <w:rsid w:val="00AD5E29"/>
    <w:rsid w:val="00AD6766"/>
    <w:rsid w:val="00AE73E0"/>
    <w:rsid w:val="00AE7F5D"/>
    <w:rsid w:val="00AF0B72"/>
    <w:rsid w:val="00AF1C0F"/>
    <w:rsid w:val="00AF35C2"/>
    <w:rsid w:val="00AF42C2"/>
    <w:rsid w:val="00AF42DC"/>
    <w:rsid w:val="00AF47EF"/>
    <w:rsid w:val="00AF61D7"/>
    <w:rsid w:val="00AF6A34"/>
    <w:rsid w:val="00B04642"/>
    <w:rsid w:val="00B06874"/>
    <w:rsid w:val="00B069FC"/>
    <w:rsid w:val="00B07EAE"/>
    <w:rsid w:val="00B1075F"/>
    <w:rsid w:val="00B10F8F"/>
    <w:rsid w:val="00B111E1"/>
    <w:rsid w:val="00B135A2"/>
    <w:rsid w:val="00B13697"/>
    <w:rsid w:val="00B175C0"/>
    <w:rsid w:val="00B25F6C"/>
    <w:rsid w:val="00B2763C"/>
    <w:rsid w:val="00B27F58"/>
    <w:rsid w:val="00B31866"/>
    <w:rsid w:val="00B3257D"/>
    <w:rsid w:val="00B328F8"/>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703D4"/>
    <w:rsid w:val="00B7058E"/>
    <w:rsid w:val="00B728C8"/>
    <w:rsid w:val="00B75224"/>
    <w:rsid w:val="00B757EC"/>
    <w:rsid w:val="00B77BD4"/>
    <w:rsid w:val="00B81893"/>
    <w:rsid w:val="00B82E7B"/>
    <w:rsid w:val="00B85AA5"/>
    <w:rsid w:val="00B8613C"/>
    <w:rsid w:val="00B863CA"/>
    <w:rsid w:val="00B872B1"/>
    <w:rsid w:val="00B92990"/>
    <w:rsid w:val="00B9562C"/>
    <w:rsid w:val="00B969F0"/>
    <w:rsid w:val="00BA0117"/>
    <w:rsid w:val="00BA05C6"/>
    <w:rsid w:val="00BA1233"/>
    <w:rsid w:val="00BA161A"/>
    <w:rsid w:val="00BA3F7D"/>
    <w:rsid w:val="00BA5459"/>
    <w:rsid w:val="00BA5775"/>
    <w:rsid w:val="00BA5AB5"/>
    <w:rsid w:val="00BA651D"/>
    <w:rsid w:val="00BB0721"/>
    <w:rsid w:val="00BB611A"/>
    <w:rsid w:val="00BB6D17"/>
    <w:rsid w:val="00BB7245"/>
    <w:rsid w:val="00BB7570"/>
    <w:rsid w:val="00BC0D80"/>
    <w:rsid w:val="00BC0E15"/>
    <w:rsid w:val="00BC22E1"/>
    <w:rsid w:val="00BC2C94"/>
    <w:rsid w:val="00BC42C7"/>
    <w:rsid w:val="00BC49D2"/>
    <w:rsid w:val="00BC5E43"/>
    <w:rsid w:val="00BC65E1"/>
    <w:rsid w:val="00BC6DBF"/>
    <w:rsid w:val="00BC7B26"/>
    <w:rsid w:val="00BD051A"/>
    <w:rsid w:val="00BE0557"/>
    <w:rsid w:val="00BE188E"/>
    <w:rsid w:val="00BE223D"/>
    <w:rsid w:val="00BE4274"/>
    <w:rsid w:val="00BE5A87"/>
    <w:rsid w:val="00BE6599"/>
    <w:rsid w:val="00BF378B"/>
    <w:rsid w:val="00BF3C62"/>
    <w:rsid w:val="00BF3DD7"/>
    <w:rsid w:val="00BF4A5B"/>
    <w:rsid w:val="00BF56C7"/>
    <w:rsid w:val="00BF7B01"/>
    <w:rsid w:val="00C00C96"/>
    <w:rsid w:val="00C019EF"/>
    <w:rsid w:val="00C033E5"/>
    <w:rsid w:val="00C04A1F"/>
    <w:rsid w:val="00C04A31"/>
    <w:rsid w:val="00C0554A"/>
    <w:rsid w:val="00C1059F"/>
    <w:rsid w:val="00C11D58"/>
    <w:rsid w:val="00C13A33"/>
    <w:rsid w:val="00C1408A"/>
    <w:rsid w:val="00C160A4"/>
    <w:rsid w:val="00C243F1"/>
    <w:rsid w:val="00C24995"/>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5586F"/>
    <w:rsid w:val="00C603EB"/>
    <w:rsid w:val="00C606EA"/>
    <w:rsid w:val="00C664BB"/>
    <w:rsid w:val="00C675CC"/>
    <w:rsid w:val="00C7069F"/>
    <w:rsid w:val="00C71718"/>
    <w:rsid w:val="00C7538F"/>
    <w:rsid w:val="00C76A20"/>
    <w:rsid w:val="00C77C7E"/>
    <w:rsid w:val="00C77D2A"/>
    <w:rsid w:val="00C809FF"/>
    <w:rsid w:val="00C9580A"/>
    <w:rsid w:val="00C9704F"/>
    <w:rsid w:val="00CA3C33"/>
    <w:rsid w:val="00CA4181"/>
    <w:rsid w:val="00CA4369"/>
    <w:rsid w:val="00CA4F30"/>
    <w:rsid w:val="00CA6583"/>
    <w:rsid w:val="00CB23CC"/>
    <w:rsid w:val="00CB28C9"/>
    <w:rsid w:val="00CB3006"/>
    <w:rsid w:val="00CB672B"/>
    <w:rsid w:val="00CB7211"/>
    <w:rsid w:val="00CC1A98"/>
    <w:rsid w:val="00CC4B3B"/>
    <w:rsid w:val="00CC6723"/>
    <w:rsid w:val="00CC7EC5"/>
    <w:rsid w:val="00CD256E"/>
    <w:rsid w:val="00CD45BE"/>
    <w:rsid w:val="00CD5018"/>
    <w:rsid w:val="00CD642B"/>
    <w:rsid w:val="00CD6A77"/>
    <w:rsid w:val="00CD6FEB"/>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95DDD"/>
    <w:rsid w:val="00DA04BC"/>
    <w:rsid w:val="00DA1668"/>
    <w:rsid w:val="00DA20D3"/>
    <w:rsid w:val="00DA3852"/>
    <w:rsid w:val="00DA3D88"/>
    <w:rsid w:val="00DA49C4"/>
    <w:rsid w:val="00DA63BF"/>
    <w:rsid w:val="00DA6F83"/>
    <w:rsid w:val="00DB4000"/>
    <w:rsid w:val="00DB42BD"/>
    <w:rsid w:val="00DB605C"/>
    <w:rsid w:val="00DC0823"/>
    <w:rsid w:val="00DC21BC"/>
    <w:rsid w:val="00DC3E4C"/>
    <w:rsid w:val="00DC55C7"/>
    <w:rsid w:val="00DC60A4"/>
    <w:rsid w:val="00DC6422"/>
    <w:rsid w:val="00DC7431"/>
    <w:rsid w:val="00DD0539"/>
    <w:rsid w:val="00DE0D99"/>
    <w:rsid w:val="00DE584B"/>
    <w:rsid w:val="00DE58A0"/>
    <w:rsid w:val="00DF22D8"/>
    <w:rsid w:val="00DF76E3"/>
    <w:rsid w:val="00E02024"/>
    <w:rsid w:val="00E03013"/>
    <w:rsid w:val="00E03104"/>
    <w:rsid w:val="00E03ABA"/>
    <w:rsid w:val="00E03E54"/>
    <w:rsid w:val="00E04EC2"/>
    <w:rsid w:val="00E07A32"/>
    <w:rsid w:val="00E10213"/>
    <w:rsid w:val="00E108F5"/>
    <w:rsid w:val="00E11808"/>
    <w:rsid w:val="00E145B6"/>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66D1"/>
    <w:rsid w:val="00E77F26"/>
    <w:rsid w:val="00E855FF"/>
    <w:rsid w:val="00E92647"/>
    <w:rsid w:val="00E97A65"/>
    <w:rsid w:val="00EA0966"/>
    <w:rsid w:val="00EA0FFC"/>
    <w:rsid w:val="00EA337F"/>
    <w:rsid w:val="00EA5A90"/>
    <w:rsid w:val="00EA5B97"/>
    <w:rsid w:val="00EB092A"/>
    <w:rsid w:val="00EB1FF2"/>
    <w:rsid w:val="00EB6387"/>
    <w:rsid w:val="00EB7D50"/>
    <w:rsid w:val="00EC09E9"/>
    <w:rsid w:val="00EC1665"/>
    <w:rsid w:val="00EC4562"/>
    <w:rsid w:val="00EC6878"/>
    <w:rsid w:val="00ED077F"/>
    <w:rsid w:val="00ED236B"/>
    <w:rsid w:val="00ED58B7"/>
    <w:rsid w:val="00ED5923"/>
    <w:rsid w:val="00ED646D"/>
    <w:rsid w:val="00EE082D"/>
    <w:rsid w:val="00EE141F"/>
    <w:rsid w:val="00EE2B02"/>
    <w:rsid w:val="00EE31B3"/>
    <w:rsid w:val="00EE472A"/>
    <w:rsid w:val="00EF11A3"/>
    <w:rsid w:val="00EF5FBF"/>
    <w:rsid w:val="00EF6DEE"/>
    <w:rsid w:val="00F023B8"/>
    <w:rsid w:val="00F11DC3"/>
    <w:rsid w:val="00F20E21"/>
    <w:rsid w:val="00F212C3"/>
    <w:rsid w:val="00F252AD"/>
    <w:rsid w:val="00F266E2"/>
    <w:rsid w:val="00F320EF"/>
    <w:rsid w:val="00F3218A"/>
    <w:rsid w:val="00F34787"/>
    <w:rsid w:val="00F358CB"/>
    <w:rsid w:val="00F36691"/>
    <w:rsid w:val="00F405D2"/>
    <w:rsid w:val="00F47743"/>
    <w:rsid w:val="00F519FB"/>
    <w:rsid w:val="00F54E2D"/>
    <w:rsid w:val="00F57119"/>
    <w:rsid w:val="00F60CB5"/>
    <w:rsid w:val="00F738B9"/>
    <w:rsid w:val="00F74241"/>
    <w:rsid w:val="00F77867"/>
    <w:rsid w:val="00F77A11"/>
    <w:rsid w:val="00F77AD1"/>
    <w:rsid w:val="00F804D1"/>
    <w:rsid w:val="00F8320C"/>
    <w:rsid w:val="00F8766A"/>
    <w:rsid w:val="00F92391"/>
    <w:rsid w:val="00FA0267"/>
    <w:rsid w:val="00FA1FBB"/>
    <w:rsid w:val="00FB3AD9"/>
    <w:rsid w:val="00FC08B7"/>
    <w:rsid w:val="00FC2270"/>
    <w:rsid w:val="00FC5035"/>
    <w:rsid w:val="00FC6A8F"/>
    <w:rsid w:val="00FD12C8"/>
    <w:rsid w:val="00FD413B"/>
    <w:rsid w:val="00FD47B7"/>
    <w:rsid w:val="00FD4E3A"/>
    <w:rsid w:val="00FD5492"/>
    <w:rsid w:val="00FD54FE"/>
    <w:rsid w:val="00FD6260"/>
    <w:rsid w:val="00FD70D0"/>
    <w:rsid w:val="00FE0DF6"/>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00c"/>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71235949">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2117669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epp.eurostat.ec.europa.eu/portal/page/portal/eurostat/hom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espon.eu/main/Menu_Projects/"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www.espon.eu"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56AB8BB3-FFB9-472D-BC75-062740036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15</Pages>
  <Words>2587</Words>
  <Characters>14752</Characters>
  <Application>Microsoft Office Word</Application>
  <DocSecurity>0</DocSecurity>
  <Lines>122</Lines>
  <Paragraphs>34</Paragraphs>
  <ScaleCrop>false</ScaleCrop>
  <HeadingPairs>
    <vt:vector size="8" baseType="variant">
      <vt:variant>
        <vt:lpstr>Title</vt:lpstr>
      </vt:variant>
      <vt:variant>
        <vt:i4>1</vt:i4>
      </vt:variant>
      <vt:variant>
        <vt:lpstr>Titel</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17305</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cottin</cp:lastModifiedBy>
  <cp:revision>6</cp:revision>
  <cp:lastPrinted>2012-10-24T12:49:00Z</cp:lastPrinted>
  <dcterms:created xsi:type="dcterms:W3CDTF">2012-12-19T17:09:00Z</dcterms:created>
  <dcterms:modified xsi:type="dcterms:W3CDTF">2012-12-20T13:04:00Z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