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78C" w:rsidRPr="005D2B3F" w:rsidRDefault="00A675F9" w:rsidP="001927E5">
      <w:pPr>
        <w:jc w:val="center"/>
      </w:pPr>
      <w:r>
        <w:rPr>
          <w:noProof/>
        </w:rPr>
        <w:drawing>
          <wp:inline distT="0" distB="0" distL="0" distR="0" wp14:anchorId="0C8BEA17" wp14:editId="1438849E">
            <wp:extent cx="2223135" cy="1028700"/>
            <wp:effectExtent l="0" t="0" r="5715" b="0"/>
            <wp:docPr id="3" name="Picture 1" descr="G:\E - Outreach SO4\E3 - Publications\02 - Lay out and corporate id\Templates\ESPON Logo\ESPON-EGTC-logo_2015-12-03_cropped_RGB_slogan.png"/>
            <wp:cNvGraphicFramePr/>
            <a:graphic xmlns:a="http://schemas.openxmlformats.org/drawingml/2006/main">
              <a:graphicData uri="http://schemas.openxmlformats.org/drawingml/2006/picture">
                <pic:pic xmlns:pic="http://schemas.openxmlformats.org/drawingml/2006/picture">
                  <pic:nvPicPr>
                    <pic:cNvPr id="3" name="Picture 1" descr="G:\E - Outreach SO4\E3 - Publications\02 - Lay out and corporate id\Templates\ESPON Logo\ESPON-EGTC-logo_2015-12-03_cropped_RGB_slogan.png"/>
                    <pic:cNvPicPr/>
                  </pic:nvPicPr>
                  <pic:blipFill>
                    <a:blip r:embed="rId8"/>
                    <a:srcRect/>
                    <a:stretch>
                      <a:fillRect/>
                    </a:stretch>
                  </pic:blipFill>
                  <pic:spPr bwMode="auto">
                    <a:xfrm>
                      <a:off x="0" y="0"/>
                      <a:ext cx="2223135" cy="1028700"/>
                    </a:xfrm>
                    <a:prstGeom prst="rect">
                      <a:avLst/>
                    </a:prstGeom>
                    <a:noFill/>
                    <a:ln w="9525">
                      <a:noFill/>
                      <a:miter lim="800000"/>
                      <a:headEnd/>
                      <a:tailEnd/>
                    </a:ln>
                  </pic:spPr>
                </pic:pic>
              </a:graphicData>
            </a:graphic>
          </wp:inline>
        </w:drawing>
      </w:r>
    </w:p>
    <w:p w:rsidR="00A01CD4" w:rsidRPr="00A01CD4" w:rsidRDefault="00A01CD4" w:rsidP="00A01CD4">
      <w:pPr>
        <w:rPr>
          <w:sz w:val="24"/>
          <w:szCs w:val="24"/>
        </w:rPr>
      </w:pPr>
      <w:r>
        <w:rPr>
          <w:sz w:val="24"/>
          <w:szCs w:val="24"/>
        </w:rPr>
        <w:t>Version15 February 2019</w:t>
      </w:r>
    </w:p>
    <w:p w:rsidR="00A01CD4" w:rsidRDefault="002D57D5" w:rsidP="001927E5">
      <w:pPr>
        <w:jc w:val="center"/>
        <w:rPr>
          <w:rFonts w:cs="Helvetica"/>
          <w:i/>
        </w:rPr>
      </w:pPr>
      <w:r w:rsidRPr="005D2B3F">
        <w:rPr>
          <w:b/>
          <w:sz w:val="28"/>
          <w:szCs w:val="28"/>
        </w:rPr>
        <w:t>G</w:t>
      </w:r>
      <w:r w:rsidR="00AC70AF" w:rsidRPr="005D2B3F">
        <w:rPr>
          <w:b/>
          <w:sz w:val="28"/>
          <w:szCs w:val="28"/>
        </w:rPr>
        <w:t>uidance for stakeholder prop</w:t>
      </w:r>
      <w:r w:rsidR="00AB789E" w:rsidRPr="005D2B3F">
        <w:rPr>
          <w:b/>
          <w:sz w:val="28"/>
          <w:szCs w:val="28"/>
        </w:rPr>
        <w:t>osals for ESPON Targeted Analys</w:t>
      </w:r>
      <w:r w:rsidR="00B07C57" w:rsidRPr="005D2B3F">
        <w:rPr>
          <w:b/>
          <w:sz w:val="28"/>
          <w:szCs w:val="28"/>
        </w:rPr>
        <w:t>e</w:t>
      </w:r>
      <w:r w:rsidR="00AC70AF" w:rsidRPr="005D2B3F">
        <w:rPr>
          <w:b/>
          <w:sz w:val="28"/>
          <w:szCs w:val="28"/>
        </w:rPr>
        <w:t>s</w:t>
      </w:r>
      <w:r w:rsidR="00474E97">
        <w:rPr>
          <w:b/>
          <w:sz w:val="28"/>
          <w:szCs w:val="28"/>
        </w:rPr>
        <w:br/>
      </w:r>
      <w:r w:rsidR="00474E97" w:rsidRPr="00474E97">
        <w:rPr>
          <w:rFonts w:cs="Helvetica"/>
          <w:i/>
        </w:rPr>
        <w:t xml:space="preserve">Open invitation to submit proposals for Targeted Analyses </w:t>
      </w:r>
    </w:p>
    <w:p w:rsidR="00474E97" w:rsidRPr="00474E97" w:rsidRDefault="00A01CD4" w:rsidP="001927E5">
      <w:pPr>
        <w:jc w:val="center"/>
        <w:rPr>
          <w:b/>
          <w:i/>
          <w:sz w:val="28"/>
          <w:szCs w:val="28"/>
        </w:rPr>
      </w:pPr>
      <w:r>
        <w:rPr>
          <w:rFonts w:cs="Helvetica"/>
          <w:i/>
        </w:rPr>
        <w:t xml:space="preserve">Cut-off date: </w:t>
      </w:r>
      <w:r w:rsidRPr="00A01CD4">
        <w:rPr>
          <w:rFonts w:cs="Helvetica"/>
          <w:b/>
          <w:i/>
          <w:color w:val="FF0000"/>
        </w:rPr>
        <w:t>28 June</w:t>
      </w:r>
      <w:r w:rsidR="00474E97" w:rsidRPr="00A01CD4">
        <w:rPr>
          <w:rFonts w:cs="Helvetica"/>
          <w:b/>
          <w:i/>
          <w:color w:val="FF0000"/>
        </w:rPr>
        <w:t xml:space="preserve"> 2019</w:t>
      </w:r>
    </w:p>
    <w:p w:rsidR="00BB7BCA" w:rsidRPr="005D2B3F" w:rsidRDefault="00BB7BCA" w:rsidP="009E4D01">
      <w:pPr>
        <w:pStyle w:val="ListParagraph"/>
        <w:numPr>
          <w:ilvl w:val="0"/>
          <w:numId w:val="19"/>
        </w:numPr>
        <w:spacing w:before="240" w:after="120" w:line="240" w:lineRule="auto"/>
        <w:contextualSpacing w:val="0"/>
        <w:jc w:val="both"/>
        <w:rPr>
          <w:b/>
        </w:rPr>
      </w:pPr>
      <w:r w:rsidRPr="005D2B3F">
        <w:rPr>
          <w:b/>
        </w:rPr>
        <w:t xml:space="preserve">ESPON </w:t>
      </w:r>
      <w:r w:rsidR="00977C5D" w:rsidRPr="005D2B3F">
        <w:rPr>
          <w:b/>
        </w:rPr>
        <w:t>T</w:t>
      </w:r>
      <w:r w:rsidRPr="005D2B3F">
        <w:rPr>
          <w:b/>
        </w:rPr>
        <w:t xml:space="preserve">argeted </w:t>
      </w:r>
      <w:r w:rsidR="00977C5D" w:rsidRPr="005D2B3F">
        <w:rPr>
          <w:b/>
        </w:rPr>
        <w:t>A</w:t>
      </w:r>
      <w:r w:rsidRPr="005D2B3F">
        <w:rPr>
          <w:b/>
        </w:rPr>
        <w:t>nalyses –</w:t>
      </w:r>
      <w:r w:rsidR="00BF302A" w:rsidRPr="005D2B3F">
        <w:rPr>
          <w:b/>
        </w:rPr>
        <w:t xml:space="preserve"> W</w:t>
      </w:r>
      <w:r w:rsidRPr="005D2B3F">
        <w:rPr>
          <w:b/>
        </w:rPr>
        <w:t>hat are they?</w:t>
      </w:r>
    </w:p>
    <w:p w:rsidR="00FB0DF8" w:rsidRPr="005D2B3F" w:rsidRDefault="00B07C57" w:rsidP="00407720">
      <w:pPr>
        <w:shd w:val="clear" w:color="auto" w:fill="FFFFFF"/>
        <w:spacing w:before="120" w:after="120" w:line="240" w:lineRule="auto"/>
        <w:jc w:val="both"/>
        <w:textAlignment w:val="top"/>
      </w:pPr>
      <w:r w:rsidRPr="005D2B3F">
        <w:t>Targeted Analyses</w:t>
      </w:r>
      <w:r w:rsidR="003C6823" w:rsidRPr="005D2B3F">
        <w:t xml:space="preserve"> involve stakeholders proposing practical ideas for relevant analysis to the ESPON EGTC. The ideas proposed should be based on stakeholders’ defined policy needs, while also being relevant beyond the stakeholders’ territories to other countries, regions or cities. </w:t>
      </w:r>
    </w:p>
    <w:p w:rsidR="00FB0DF8" w:rsidRPr="005D2B3F" w:rsidRDefault="00977C5D" w:rsidP="00407720">
      <w:pPr>
        <w:shd w:val="clear" w:color="auto" w:fill="FFFFFF"/>
        <w:spacing w:before="120" w:after="120" w:line="240" w:lineRule="auto"/>
        <w:jc w:val="both"/>
        <w:textAlignment w:val="top"/>
      </w:pPr>
      <w:r w:rsidRPr="005D2B3F">
        <w:t>The T</w:t>
      </w:r>
      <w:r w:rsidR="00FB0DF8" w:rsidRPr="005D2B3F">
        <w:t xml:space="preserve">argeted </w:t>
      </w:r>
      <w:r w:rsidRPr="005D2B3F">
        <w:t>A</w:t>
      </w:r>
      <w:r w:rsidR="00FB0DF8" w:rsidRPr="005D2B3F">
        <w:t xml:space="preserve">nalyses are meant to support </w:t>
      </w:r>
      <w:r w:rsidRPr="005D2B3F">
        <w:t xml:space="preserve">stakeholders in their </w:t>
      </w:r>
      <w:r w:rsidR="00FB0DF8" w:rsidRPr="005D2B3F">
        <w:t xml:space="preserve">policy development and add a </w:t>
      </w:r>
      <w:r w:rsidR="00406496" w:rsidRPr="005D2B3F">
        <w:t xml:space="preserve">wider </w:t>
      </w:r>
      <w:r w:rsidR="00FB0DF8" w:rsidRPr="005D2B3F">
        <w:t xml:space="preserve">European perspective to </w:t>
      </w:r>
      <w:r w:rsidRPr="005D2B3F">
        <w:t xml:space="preserve">policy </w:t>
      </w:r>
      <w:r w:rsidR="00FB0DF8" w:rsidRPr="005D2B3F">
        <w:t>considerations related to their territories.</w:t>
      </w:r>
    </w:p>
    <w:p w:rsidR="003C6823" w:rsidRPr="005D2B3F" w:rsidRDefault="003C6823" w:rsidP="00407720">
      <w:pPr>
        <w:shd w:val="clear" w:color="auto" w:fill="FFFFFF"/>
        <w:spacing w:before="120" w:after="120" w:line="240" w:lineRule="auto"/>
        <w:jc w:val="both"/>
        <w:textAlignment w:val="top"/>
      </w:pPr>
      <w:r w:rsidRPr="005D2B3F">
        <w:t xml:space="preserve">Following </w:t>
      </w:r>
      <w:r w:rsidR="009411E7">
        <w:t xml:space="preserve">the </w:t>
      </w:r>
      <w:r w:rsidRPr="005D2B3F">
        <w:t xml:space="preserve">positive selection of a stakeholder proposal, the ESPON EGTC will implement </w:t>
      </w:r>
      <w:r w:rsidR="00977C5D" w:rsidRPr="005D2B3F">
        <w:t>T</w:t>
      </w:r>
      <w:r w:rsidRPr="005D2B3F">
        <w:t xml:space="preserve">argeted </w:t>
      </w:r>
      <w:r w:rsidR="00977C5D" w:rsidRPr="005D2B3F">
        <w:t>A</w:t>
      </w:r>
      <w:r w:rsidRPr="005D2B3F">
        <w:t xml:space="preserve">nalyses through the </w:t>
      </w:r>
      <w:r w:rsidR="002F3611" w:rsidRPr="005D2B3F">
        <w:t>commissioning</w:t>
      </w:r>
      <w:r w:rsidRPr="005D2B3F">
        <w:t xml:space="preserve"> of external expertise via an open, EU wide procurement procedure.</w:t>
      </w:r>
    </w:p>
    <w:p w:rsidR="003B1C3D" w:rsidRDefault="003C6823" w:rsidP="00407720">
      <w:pPr>
        <w:pStyle w:val="CommentText"/>
        <w:spacing w:before="120" w:after="120" w:line="240" w:lineRule="auto"/>
        <w:jc w:val="both"/>
        <w:rPr>
          <w:sz w:val="22"/>
          <w:szCs w:val="22"/>
          <w:lang w:val="en-GB"/>
        </w:rPr>
      </w:pPr>
      <w:r w:rsidRPr="005D2B3F">
        <w:rPr>
          <w:sz w:val="22"/>
          <w:szCs w:val="22"/>
          <w:lang w:val="en-GB"/>
        </w:rPr>
        <w:t>Targeted Analyses are powerful means to transfer knowledge, share experience and facilitate the use of European territorial evidence rooted in real place-based policy development processes.</w:t>
      </w:r>
    </w:p>
    <w:p w:rsidR="00AC70AF" w:rsidRDefault="00AC70AF" w:rsidP="009E4D01">
      <w:pPr>
        <w:pStyle w:val="ListParagraph"/>
        <w:numPr>
          <w:ilvl w:val="0"/>
          <w:numId w:val="19"/>
        </w:numPr>
        <w:spacing w:before="240" w:after="120" w:line="240" w:lineRule="auto"/>
        <w:contextualSpacing w:val="0"/>
        <w:jc w:val="both"/>
        <w:rPr>
          <w:b/>
        </w:rPr>
      </w:pPr>
      <w:r w:rsidRPr="005D2B3F">
        <w:rPr>
          <w:b/>
        </w:rPr>
        <w:t>How do they work?</w:t>
      </w:r>
    </w:p>
    <w:p w:rsidR="00AC70AF" w:rsidRPr="00407720" w:rsidRDefault="00406496" w:rsidP="00407720">
      <w:pPr>
        <w:pStyle w:val="CommentText"/>
        <w:spacing w:before="120" w:after="120" w:line="240" w:lineRule="auto"/>
        <w:jc w:val="both"/>
        <w:rPr>
          <w:sz w:val="22"/>
          <w:szCs w:val="22"/>
          <w:lang w:val="en-GB"/>
        </w:rPr>
      </w:pPr>
      <w:r w:rsidRPr="00407720">
        <w:rPr>
          <w:sz w:val="22"/>
          <w:szCs w:val="22"/>
          <w:lang w:val="en-GB"/>
        </w:rPr>
        <w:t xml:space="preserve">As </w:t>
      </w:r>
      <w:r w:rsidR="00AC70AF" w:rsidRPr="00407720">
        <w:rPr>
          <w:sz w:val="22"/>
          <w:szCs w:val="22"/>
          <w:lang w:val="en-GB"/>
        </w:rPr>
        <w:t>a first step, stakeholders propose and describe the</w:t>
      </w:r>
      <w:r w:rsidR="00D336BF" w:rsidRPr="00407720">
        <w:rPr>
          <w:sz w:val="22"/>
          <w:szCs w:val="22"/>
          <w:lang w:val="en-GB"/>
        </w:rPr>
        <w:t>ir</w:t>
      </w:r>
      <w:r w:rsidR="00AC70AF" w:rsidRPr="00407720">
        <w:rPr>
          <w:sz w:val="22"/>
          <w:szCs w:val="22"/>
          <w:lang w:val="en-GB"/>
        </w:rPr>
        <w:t xml:space="preserve"> analytical need concerning</w:t>
      </w:r>
      <w:r w:rsidR="006C0421" w:rsidRPr="00407720">
        <w:rPr>
          <w:sz w:val="22"/>
          <w:szCs w:val="22"/>
          <w:lang w:val="en-GB"/>
        </w:rPr>
        <w:t xml:space="preserve"> </w:t>
      </w:r>
      <w:r w:rsidR="00AC70AF" w:rsidRPr="00407720">
        <w:rPr>
          <w:sz w:val="22"/>
          <w:szCs w:val="22"/>
          <w:lang w:val="en-GB"/>
        </w:rPr>
        <w:t xml:space="preserve">their own territories, explaining why they need a </w:t>
      </w:r>
      <w:r w:rsidR="00B07C57" w:rsidRPr="00407720">
        <w:rPr>
          <w:sz w:val="22"/>
          <w:szCs w:val="22"/>
          <w:lang w:val="en-GB"/>
        </w:rPr>
        <w:t>Targeted Analysis</w:t>
      </w:r>
      <w:r w:rsidR="00AC70AF" w:rsidRPr="00407720">
        <w:rPr>
          <w:sz w:val="22"/>
          <w:szCs w:val="22"/>
          <w:lang w:val="en-GB"/>
        </w:rPr>
        <w:t xml:space="preserve"> with a European</w:t>
      </w:r>
      <w:r w:rsidR="006C0421" w:rsidRPr="00407720">
        <w:rPr>
          <w:sz w:val="22"/>
          <w:szCs w:val="22"/>
          <w:lang w:val="en-GB"/>
        </w:rPr>
        <w:t xml:space="preserve"> </w:t>
      </w:r>
      <w:r w:rsidR="00AC70AF" w:rsidRPr="00407720">
        <w:rPr>
          <w:sz w:val="22"/>
          <w:szCs w:val="22"/>
          <w:lang w:val="en-GB"/>
        </w:rPr>
        <w:t>perspective, outlining the results they envisage to receive, as well as how they intend to</w:t>
      </w:r>
      <w:r w:rsidR="006C0421" w:rsidRPr="00407720">
        <w:rPr>
          <w:sz w:val="22"/>
          <w:szCs w:val="22"/>
          <w:lang w:val="en-GB"/>
        </w:rPr>
        <w:t xml:space="preserve"> </w:t>
      </w:r>
      <w:r w:rsidR="00AC70AF" w:rsidRPr="00407720">
        <w:rPr>
          <w:sz w:val="22"/>
          <w:szCs w:val="22"/>
          <w:lang w:val="en-GB"/>
        </w:rPr>
        <w:t xml:space="preserve">make use of the </w:t>
      </w:r>
      <w:r w:rsidR="00B07C57" w:rsidRPr="00407720">
        <w:rPr>
          <w:sz w:val="22"/>
          <w:szCs w:val="22"/>
          <w:lang w:val="en-GB"/>
        </w:rPr>
        <w:t>Targeted Analysis</w:t>
      </w:r>
      <w:r w:rsidR="00AC70AF" w:rsidRPr="00407720">
        <w:rPr>
          <w:sz w:val="22"/>
          <w:szCs w:val="22"/>
          <w:lang w:val="en-GB"/>
        </w:rPr>
        <w:t xml:space="preserve"> in practice.</w:t>
      </w:r>
    </w:p>
    <w:p w:rsidR="00407720" w:rsidRDefault="00AC70AF" w:rsidP="00407720">
      <w:pPr>
        <w:pStyle w:val="CommentText"/>
        <w:spacing w:before="120" w:after="120" w:line="240" w:lineRule="auto"/>
        <w:jc w:val="both"/>
        <w:rPr>
          <w:sz w:val="22"/>
          <w:szCs w:val="22"/>
          <w:lang w:val="en-GB"/>
        </w:rPr>
      </w:pPr>
      <w:r w:rsidRPr="00407720">
        <w:rPr>
          <w:sz w:val="22"/>
          <w:szCs w:val="22"/>
          <w:lang w:val="en-GB"/>
        </w:rPr>
        <w:t>Stakeholders submit their proposals to the ESPON EGTC by filling in a digital application</w:t>
      </w:r>
      <w:r w:rsidR="006C0421" w:rsidRPr="00407720">
        <w:rPr>
          <w:sz w:val="22"/>
          <w:szCs w:val="22"/>
          <w:lang w:val="en-GB"/>
        </w:rPr>
        <w:t xml:space="preserve"> </w:t>
      </w:r>
      <w:r w:rsidRPr="00407720">
        <w:rPr>
          <w:sz w:val="22"/>
          <w:szCs w:val="22"/>
          <w:lang w:val="en-GB"/>
        </w:rPr>
        <w:t>form, avail</w:t>
      </w:r>
      <w:r w:rsidR="00977C5D" w:rsidRPr="00407720">
        <w:rPr>
          <w:sz w:val="22"/>
          <w:szCs w:val="22"/>
          <w:lang w:val="en-GB"/>
        </w:rPr>
        <w:t xml:space="preserve">able </w:t>
      </w:r>
      <w:r w:rsidR="00406496" w:rsidRPr="00407720">
        <w:rPr>
          <w:sz w:val="22"/>
          <w:szCs w:val="22"/>
          <w:lang w:val="en-GB"/>
        </w:rPr>
        <w:t xml:space="preserve">on </w:t>
      </w:r>
      <w:r w:rsidR="00977C5D" w:rsidRPr="00407720">
        <w:rPr>
          <w:sz w:val="22"/>
          <w:szCs w:val="22"/>
          <w:lang w:val="en-GB"/>
        </w:rPr>
        <w:t xml:space="preserve">the ESPON website. The stakeholder </w:t>
      </w:r>
      <w:r w:rsidR="00CA5D16" w:rsidRPr="00407720">
        <w:rPr>
          <w:sz w:val="22"/>
          <w:szCs w:val="22"/>
          <w:lang w:val="en-GB"/>
        </w:rPr>
        <w:t>proposal</w:t>
      </w:r>
      <w:r w:rsidR="0046278C" w:rsidRPr="00407720">
        <w:rPr>
          <w:sz w:val="22"/>
          <w:szCs w:val="22"/>
          <w:lang w:val="en-GB"/>
        </w:rPr>
        <w:t>s</w:t>
      </w:r>
      <w:r w:rsidR="00CA5D16" w:rsidRPr="00407720">
        <w:rPr>
          <w:sz w:val="22"/>
          <w:szCs w:val="22"/>
          <w:lang w:val="en-GB"/>
        </w:rPr>
        <w:t xml:space="preserve"> </w:t>
      </w:r>
      <w:r w:rsidR="0046278C" w:rsidRPr="00407720">
        <w:rPr>
          <w:sz w:val="22"/>
          <w:szCs w:val="22"/>
          <w:lang w:val="en-GB"/>
        </w:rPr>
        <w:t>need</w:t>
      </w:r>
      <w:r w:rsidRPr="00407720">
        <w:rPr>
          <w:sz w:val="22"/>
          <w:szCs w:val="22"/>
          <w:lang w:val="en-GB"/>
        </w:rPr>
        <w:t xml:space="preserve"> to be complemented by</w:t>
      </w:r>
      <w:r w:rsidR="006C0421" w:rsidRPr="00407720">
        <w:rPr>
          <w:sz w:val="22"/>
          <w:szCs w:val="22"/>
          <w:lang w:val="en-GB"/>
        </w:rPr>
        <w:t xml:space="preserve"> </w:t>
      </w:r>
      <w:r w:rsidRPr="00407720">
        <w:rPr>
          <w:sz w:val="22"/>
          <w:szCs w:val="22"/>
          <w:lang w:val="en-GB"/>
        </w:rPr>
        <w:t xml:space="preserve">letters </w:t>
      </w:r>
      <w:r w:rsidR="00560AFD" w:rsidRPr="00407720">
        <w:rPr>
          <w:sz w:val="22"/>
          <w:szCs w:val="22"/>
          <w:lang w:val="en-GB"/>
        </w:rPr>
        <w:t>of commitment</w:t>
      </w:r>
      <w:r w:rsidRPr="00407720">
        <w:rPr>
          <w:sz w:val="22"/>
          <w:szCs w:val="22"/>
          <w:lang w:val="en-GB"/>
        </w:rPr>
        <w:t xml:space="preserve"> </w:t>
      </w:r>
      <w:r w:rsidR="00406496" w:rsidRPr="00407720">
        <w:rPr>
          <w:sz w:val="22"/>
          <w:szCs w:val="22"/>
          <w:lang w:val="en-GB"/>
        </w:rPr>
        <w:t>from</w:t>
      </w:r>
      <w:r w:rsidRPr="00407720">
        <w:rPr>
          <w:sz w:val="22"/>
          <w:szCs w:val="22"/>
          <w:lang w:val="en-GB"/>
        </w:rPr>
        <w:t xml:space="preserve"> all participating stakeholder</w:t>
      </w:r>
      <w:r w:rsidR="00406496" w:rsidRPr="00407720">
        <w:rPr>
          <w:sz w:val="22"/>
          <w:szCs w:val="22"/>
          <w:lang w:val="en-GB"/>
        </w:rPr>
        <w:t>s</w:t>
      </w:r>
      <w:r w:rsidR="0046278C" w:rsidRPr="00407720">
        <w:rPr>
          <w:sz w:val="22"/>
          <w:szCs w:val="22"/>
          <w:lang w:val="en-GB"/>
        </w:rPr>
        <w:t xml:space="preserve"> (including the lead stakeholder)</w:t>
      </w:r>
      <w:r w:rsidRPr="00407720">
        <w:rPr>
          <w:sz w:val="22"/>
          <w:szCs w:val="22"/>
          <w:lang w:val="en-GB"/>
        </w:rPr>
        <w:t xml:space="preserve"> institutions.</w:t>
      </w:r>
      <w:r w:rsidR="00174DDC" w:rsidRPr="00407720">
        <w:rPr>
          <w:sz w:val="22"/>
          <w:szCs w:val="22"/>
          <w:lang w:val="en-GB"/>
        </w:rPr>
        <w:t xml:space="preserve"> </w:t>
      </w:r>
      <w:r w:rsidR="00347092" w:rsidRPr="00407720">
        <w:rPr>
          <w:sz w:val="22"/>
          <w:szCs w:val="22"/>
          <w:lang w:val="en-GB"/>
        </w:rPr>
        <w:t xml:space="preserve">The ESPON EGTC </w:t>
      </w:r>
      <w:r w:rsidR="00406496" w:rsidRPr="00407720">
        <w:rPr>
          <w:sz w:val="22"/>
          <w:szCs w:val="22"/>
          <w:lang w:val="en-GB"/>
        </w:rPr>
        <w:t xml:space="preserve">also </w:t>
      </w:r>
      <w:r w:rsidR="00347092" w:rsidRPr="00407720">
        <w:rPr>
          <w:sz w:val="22"/>
          <w:szCs w:val="22"/>
          <w:lang w:val="en-GB"/>
        </w:rPr>
        <w:t xml:space="preserve">provides a template for letters of commitment on </w:t>
      </w:r>
      <w:r w:rsidR="00406496" w:rsidRPr="00407720">
        <w:rPr>
          <w:sz w:val="22"/>
          <w:szCs w:val="22"/>
          <w:lang w:val="en-GB"/>
        </w:rPr>
        <w:t>the ESPON</w:t>
      </w:r>
      <w:r w:rsidR="00347092" w:rsidRPr="00407720">
        <w:rPr>
          <w:sz w:val="22"/>
          <w:szCs w:val="22"/>
          <w:lang w:val="en-GB"/>
        </w:rPr>
        <w:t xml:space="preserve"> website, together with the digital application form. </w:t>
      </w:r>
      <w:r w:rsidRPr="00407720">
        <w:rPr>
          <w:sz w:val="22"/>
          <w:szCs w:val="22"/>
          <w:lang w:val="en-GB"/>
        </w:rPr>
        <w:t>S</w:t>
      </w:r>
      <w:r w:rsidR="004457BE" w:rsidRPr="00407720">
        <w:rPr>
          <w:sz w:val="22"/>
          <w:szCs w:val="22"/>
          <w:lang w:val="en-GB"/>
        </w:rPr>
        <w:t>takeholder proposals for ESPON Targeted A</w:t>
      </w:r>
      <w:r w:rsidRPr="00407720">
        <w:rPr>
          <w:sz w:val="22"/>
          <w:szCs w:val="22"/>
          <w:lang w:val="en-GB"/>
        </w:rPr>
        <w:t xml:space="preserve">nalyses can be submitted </w:t>
      </w:r>
      <w:r w:rsidR="00406496" w:rsidRPr="00407720">
        <w:rPr>
          <w:sz w:val="22"/>
          <w:szCs w:val="22"/>
          <w:lang w:val="en-GB"/>
        </w:rPr>
        <w:t xml:space="preserve">at </w:t>
      </w:r>
      <w:r w:rsidR="00407720" w:rsidRPr="00407720">
        <w:rPr>
          <w:sz w:val="22"/>
          <w:szCs w:val="22"/>
          <w:lang w:val="en-GB"/>
        </w:rPr>
        <w:t>any time</w:t>
      </w:r>
      <w:r w:rsidR="00407720">
        <w:rPr>
          <w:sz w:val="22"/>
          <w:szCs w:val="22"/>
          <w:lang w:val="en-GB"/>
        </w:rPr>
        <w:t>.</w:t>
      </w:r>
    </w:p>
    <w:p w:rsidR="00AC70AF" w:rsidRPr="00407720" w:rsidRDefault="00AC70AF" w:rsidP="00407720">
      <w:pPr>
        <w:pStyle w:val="CommentText"/>
        <w:spacing w:before="120" w:after="120" w:line="240" w:lineRule="auto"/>
        <w:jc w:val="both"/>
        <w:rPr>
          <w:sz w:val="22"/>
          <w:szCs w:val="22"/>
          <w:lang w:val="en-GB"/>
        </w:rPr>
      </w:pPr>
      <w:r w:rsidRPr="00407720">
        <w:rPr>
          <w:sz w:val="22"/>
          <w:szCs w:val="22"/>
          <w:lang w:val="en-GB"/>
        </w:rPr>
        <w:t>The process is the following:</w:t>
      </w:r>
    </w:p>
    <w:p w:rsidR="00AC70AF" w:rsidRPr="005D2B3F" w:rsidRDefault="00AC70AF" w:rsidP="00FE0925">
      <w:pPr>
        <w:pStyle w:val="ListParagraph"/>
        <w:numPr>
          <w:ilvl w:val="0"/>
          <w:numId w:val="12"/>
        </w:numPr>
        <w:spacing w:after="120" w:line="240" w:lineRule="auto"/>
        <w:ind w:left="714" w:hanging="357"/>
        <w:jc w:val="both"/>
      </w:pPr>
      <w:r w:rsidRPr="005D2B3F">
        <w:t xml:space="preserve">The ESPON EGTC evaluates twice per year all stakeholder </w:t>
      </w:r>
      <w:r w:rsidR="00011658" w:rsidRPr="005D2B3F">
        <w:t>proposals</w:t>
      </w:r>
      <w:r w:rsidRPr="005D2B3F">
        <w:t xml:space="preserve"> received </w:t>
      </w:r>
      <w:r w:rsidR="00DC3994" w:rsidRPr="005D2B3F">
        <w:t>by certain</w:t>
      </w:r>
      <w:r w:rsidRPr="005D2B3F">
        <w:t xml:space="preserve"> </w:t>
      </w:r>
      <w:r w:rsidR="00BB7BCA" w:rsidRPr="005D2B3F">
        <w:t>cut-off date</w:t>
      </w:r>
      <w:r w:rsidR="00667303" w:rsidRPr="005D2B3F">
        <w:t>s</w:t>
      </w:r>
      <w:r w:rsidRPr="005D2B3F">
        <w:t>. The exact deadlines will be advertised on the ESPON website.</w:t>
      </w:r>
    </w:p>
    <w:p w:rsidR="0046278C" w:rsidRPr="005D2B3F" w:rsidRDefault="0046278C" w:rsidP="00FE0925">
      <w:pPr>
        <w:pStyle w:val="ListParagraph"/>
        <w:numPr>
          <w:ilvl w:val="0"/>
          <w:numId w:val="12"/>
        </w:numPr>
        <w:spacing w:after="120" w:line="240" w:lineRule="auto"/>
        <w:ind w:left="714" w:hanging="357"/>
        <w:jc w:val="both"/>
      </w:pPr>
      <w:r w:rsidRPr="005D2B3F">
        <w:t xml:space="preserve">A stakeholder cooperation agreement is signed between the ESPON EGTC and the </w:t>
      </w:r>
      <w:r w:rsidR="00DC3994" w:rsidRPr="005D2B3F">
        <w:t>l</w:t>
      </w:r>
      <w:r w:rsidRPr="005D2B3F">
        <w:t xml:space="preserve">ead </w:t>
      </w:r>
      <w:r w:rsidR="00ED01DD" w:rsidRPr="005D2B3F">
        <w:t>s</w:t>
      </w:r>
      <w:r w:rsidRPr="005D2B3F">
        <w:t>takeholders of the selected proposals (template</w:t>
      </w:r>
      <w:r w:rsidR="003B1C3D" w:rsidRPr="005D2B3F">
        <w:t xml:space="preserve"> is available on the ESPON website).</w:t>
      </w:r>
    </w:p>
    <w:p w:rsidR="006C0421" w:rsidRPr="005D2B3F" w:rsidRDefault="00AC70AF" w:rsidP="00FE0925">
      <w:pPr>
        <w:pStyle w:val="ListParagraph"/>
        <w:numPr>
          <w:ilvl w:val="0"/>
          <w:numId w:val="12"/>
        </w:numPr>
        <w:spacing w:after="120" w:line="240" w:lineRule="auto"/>
        <w:ind w:left="714" w:hanging="357"/>
        <w:jc w:val="both"/>
      </w:pPr>
      <w:r w:rsidRPr="005D2B3F">
        <w:t>Together with the stakeholders the ESPON EGTC then further develops the</w:t>
      </w:r>
      <w:r w:rsidR="006C0421" w:rsidRPr="005D2B3F">
        <w:t xml:space="preserve"> </w:t>
      </w:r>
      <w:r w:rsidR="00667303" w:rsidRPr="005D2B3F">
        <w:t xml:space="preserve">selected </w:t>
      </w:r>
      <w:r w:rsidRPr="005D2B3F">
        <w:t>proposals into detailed terms of reference.</w:t>
      </w:r>
    </w:p>
    <w:p w:rsidR="00AC70AF" w:rsidRPr="005D2B3F" w:rsidRDefault="00AC70AF" w:rsidP="002F3611">
      <w:pPr>
        <w:pStyle w:val="ListParagraph"/>
        <w:numPr>
          <w:ilvl w:val="0"/>
          <w:numId w:val="12"/>
        </w:numPr>
        <w:spacing w:after="120" w:line="240" w:lineRule="auto"/>
        <w:ind w:left="714" w:hanging="357"/>
        <w:contextualSpacing w:val="0"/>
        <w:jc w:val="both"/>
      </w:pPr>
      <w:r w:rsidRPr="005D2B3F">
        <w:t xml:space="preserve">Selected </w:t>
      </w:r>
      <w:r w:rsidR="00977C5D" w:rsidRPr="005D2B3F">
        <w:t>T</w:t>
      </w:r>
      <w:r w:rsidRPr="005D2B3F">
        <w:t xml:space="preserve">argeted </w:t>
      </w:r>
      <w:r w:rsidR="00977C5D" w:rsidRPr="005D2B3F">
        <w:t>A</w:t>
      </w:r>
      <w:r w:rsidRPr="005D2B3F">
        <w:t xml:space="preserve">nalyses will be openly tendered EU wide to </w:t>
      </w:r>
      <w:r w:rsidR="002F3611" w:rsidRPr="005D2B3F">
        <w:t>commission</w:t>
      </w:r>
      <w:r w:rsidRPr="005D2B3F">
        <w:t xml:space="preserve"> highly</w:t>
      </w:r>
      <w:r w:rsidR="006C0421" w:rsidRPr="005D2B3F">
        <w:t xml:space="preserve"> </w:t>
      </w:r>
      <w:r w:rsidRPr="005D2B3F">
        <w:t xml:space="preserve">qualified experts </w:t>
      </w:r>
      <w:r w:rsidR="00667303" w:rsidRPr="005D2B3F">
        <w:t xml:space="preserve">to </w:t>
      </w:r>
      <w:r w:rsidRPr="005D2B3F">
        <w:t xml:space="preserve">carry out the </w:t>
      </w:r>
      <w:r w:rsidR="00667303" w:rsidRPr="005D2B3F">
        <w:t>Targeted A</w:t>
      </w:r>
      <w:r w:rsidRPr="005D2B3F">
        <w:t>nalysis.</w:t>
      </w:r>
    </w:p>
    <w:p w:rsidR="002F3611" w:rsidRPr="00407720" w:rsidRDefault="002F3611" w:rsidP="00407720">
      <w:pPr>
        <w:pStyle w:val="CommentText"/>
        <w:spacing w:before="120" w:after="120" w:line="240" w:lineRule="auto"/>
        <w:jc w:val="both"/>
        <w:rPr>
          <w:sz w:val="22"/>
          <w:szCs w:val="22"/>
          <w:lang w:val="en-GB"/>
        </w:rPr>
      </w:pPr>
      <w:r w:rsidRPr="00407720">
        <w:rPr>
          <w:sz w:val="22"/>
          <w:szCs w:val="22"/>
          <w:lang w:val="en-GB"/>
        </w:rPr>
        <w:t>The contracted experts will closely cooperate with the stakeholders and the ESPON EGTC in the implementation of the Targeted Analysis.</w:t>
      </w:r>
    </w:p>
    <w:p w:rsidR="00C068F5" w:rsidRDefault="00C068F5">
      <w:pPr>
        <w:spacing w:after="0" w:line="240" w:lineRule="auto"/>
      </w:pPr>
      <w:r>
        <w:lastRenderedPageBreak/>
        <w:br w:type="page"/>
      </w:r>
    </w:p>
    <w:p w:rsidR="002F3611" w:rsidRPr="00407720" w:rsidRDefault="005341C1" w:rsidP="00407720">
      <w:pPr>
        <w:pStyle w:val="CommentText"/>
        <w:spacing w:before="120" w:after="120" w:line="240" w:lineRule="auto"/>
        <w:jc w:val="both"/>
        <w:rPr>
          <w:sz w:val="22"/>
          <w:szCs w:val="22"/>
          <w:lang w:val="en-GB"/>
        </w:rPr>
      </w:pPr>
      <w:r w:rsidRPr="00407720">
        <w:rPr>
          <w:sz w:val="22"/>
          <w:szCs w:val="22"/>
          <w:lang w:val="en-GB"/>
        </w:rPr>
        <w:lastRenderedPageBreak/>
        <w:t xml:space="preserve">The process of developing and implementing an ESPON Targeted Analysis is visualised in the figure below: </w:t>
      </w:r>
    </w:p>
    <w:p w:rsidR="002F3611" w:rsidRPr="005D2B3F" w:rsidRDefault="004F79CC" w:rsidP="00474E97">
      <w:pPr>
        <w:spacing w:after="240" w:line="240" w:lineRule="auto"/>
        <w:jc w:val="center"/>
      </w:pPr>
      <w:r>
        <w:rPr>
          <w:noProof/>
        </w:rPr>
        <w:drawing>
          <wp:inline distT="0" distB="0" distL="0" distR="0">
            <wp:extent cx="5753100" cy="3476625"/>
            <wp:effectExtent l="0" t="0" r="0"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476625"/>
                    </a:xfrm>
                    <a:prstGeom prst="rect">
                      <a:avLst/>
                    </a:prstGeom>
                    <a:noFill/>
                    <a:ln>
                      <a:noFill/>
                    </a:ln>
                  </pic:spPr>
                </pic:pic>
              </a:graphicData>
            </a:graphic>
          </wp:inline>
        </w:drawing>
      </w:r>
    </w:p>
    <w:p w:rsidR="0001717B" w:rsidRDefault="0001717B" w:rsidP="009E4D01">
      <w:pPr>
        <w:pStyle w:val="ListParagraph"/>
        <w:numPr>
          <w:ilvl w:val="0"/>
          <w:numId w:val="19"/>
        </w:numPr>
        <w:spacing w:before="240" w:after="120" w:line="240" w:lineRule="auto"/>
        <w:contextualSpacing w:val="0"/>
        <w:jc w:val="both"/>
        <w:rPr>
          <w:b/>
        </w:rPr>
      </w:pPr>
      <w:r w:rsidRPr="005D2B3F">
        <w:rPr>
          <w:b/>
        </w:rPr>
        <w:t>Who can apply?</w:t>
      </w:r>
    </w:p>
    <w:p w:rsidR="00AC70AF" w:rsidRPr="0001717B" w:rsidRDefault="00BF35EF" w:rsidP="0001717B">
      <w:pPr>
        <w:pStyle w:val="CommentText"/>
        <w:spacing w:before="120" w:after="120" w:line="240" w:lineRule="auto"/>
        <w:jc w:val="both"/>
        <w:rPr>
          <w:sz w:val="22"/>
          <w:szCs w:val="22"/>
          <w:lang w:val="en-GB"/>
        </w:rPr>
      </w:pPr>
      <w:r w:rsidRPr="0001717B">
        <w:rPr>
          <w:sz w:val="22"/>
          <w:szCs w:val="22"/>
          <w:lang w:val="en-GB"/>
        </w:rPr>
        <w:t xml:space="preserve">In line with the ESPON 2020 </w:t>
      </w:r>
      <w:r w:rsidR="00416379">
        <w:rPr>
          <w:sz w:val="22"/>
          <w:szCs w:val="22"/>
          <w:lang w:val="en-GB"/>
        </w:rPr>
        <w:t>Cooperation P</w:t>
      </w:r>
      <w:r w:rsidRPr="0001717B">
        <w:rPr>
          <w:sz w:val="22"/>
          <w:szCs w:val="22"/>
          <w:lang w:val="en-GB"/>
        </w:rPr>
        <w:t>rogramme documents t</w:t>
      </w:r>
      <w:r w:rsidR="00AC70AF" w:rsidRPr="0001717B">
        <w:rPr>
          <w:sz w:val="22"/>
          <w:szCs w:val="22"/>
          <w:lang w:val="en-GB"/>
        </w:rPr>
        <w:t xml:space="preserve">he following stakeholders </w:t>
      </w:r>
      <w:r w:rsidR="008777CE" w:rsidRPr="0001717B">
        <w:rPr>
          <w:sz w:val="22"/>
          <w:szCs w:val="22"/>
          <w:lang w:val="en-GB"/>
        </w:rPr>
        <w:t>will be eligible for submitting</w:t>
      </w:r>
      <w:r w:rsidR="002703D4" w:rsidRPr="0001717B">
        <w:rPr>
          <w:sz w:val="22"/>
          <w:szCs w:val="22"/>
          <w:lang w:val="en-GB"/>
        </w:rPr>
        <w:t xml:space="preserve"> proposals for ESPON T</w:t>
      </w:r>
      <w:r w:rsidR="00AC70AF" w:rsidRPr="0001717B">
        <w:rPr>
          <w:sz w:val="22"/>
          <w:szCs w:val="22"/>
          <w:lang w:val="en-GB"/>
        </w:rPr>
        <w:t>argeted</w:t>
      </w:r>
      <w:r w:rsidR="002703D4" w:rsidRPr="0001717B">
        <w:rPr>
          <w:sz w:val="22"/>
          <w:szCs w:val="22"/>
          <w:lang w:val="en-GB"/>
        </w:rPr>
        <w:t xml:space="preserve"> A</w:t>
      </w:r>
      <w:r w:rsidR="00AC70AF" w:rsidRPr="0001717B">
        <w:rPr>
          <w:sz w:val="22"/>
          <w:szCs w:val="22"/>
          <w:lang w:val="en-GB"/>
        </w:rPr>
        <w:t>nalyses</w:t>
      </w:r>
      <w:r w:rsidR="00071357" w:rsidRPr="0001717B">
        <w:rPr>
          <w:sz w:val="22"/>
          <w:szCs w:val="22"/>
          <w:lang w:val="en-GB"/>
        </w:rPr>
        <w:t>, either as lead or part</w:t>
      </w:r>
      <w:r w:rsidR="00450568" w:rsidRPr="0001717B">
        <w:rPr>
          <w:sz w:val="22"/>
          <w:szCs w:val="22"/>
          <w:lang w:val="en-GB"/>
        </w:rPr>
        <w:t>icipating</w:t>
      </w:r>
      <w:r w:rsidR="00071357" w:rsidRPr="0001717B">
        <w:rPr>
          <w:sz w:val="22"/>
          <w:szCs w:val="22"/>
          <w:lang w:val="en-GB"/>
        </w:rPr>
        <w:t xml:space="preserve"> stakeholders</w:t>
      </w:r>
      <w:r w:rsidR="00AC70AF" w:rsidRPr="0001717B">
        <w:rPr>
          <w:sz w:val="22"/>
          <w:szCs w:val="22"/>
          <w:lang w:val="en-GB"/>
        </w:rPr>
        <w:t>:</w:t>
      </w:r>
    </w:p>
    <w:p w:rsidR="00E06F43" w:rsidRPr="005D2B3F" w:rsidRDefault="00E06F43" w:rsidP="00E06F43">
      <w:pPr>
        <w:pStyle w:val="ListParagraph"/>
        <w:numPr>
          <w:ilvl w:val="0"/>
          <w:numId w:val="3"/>
        </w:numPr>
        <w:spacing w:after="120" w:line="240" w:lineRule="auto"/>
        <w:contextualSpacing w:val="0"/>
        <w:jc w:val="both"/>
      </w:pPr>
      <w:r w:rsidRPr="005D2B3F">
        <w:t xml:space="preserve">National, regional and local bodies, European Groupings of Territorial Cooperation in the EU member states and the ESPON partner states (Iceland, Liechtenstein, Norway and Switzerland) and </w:t>
      </w:r>
      <w:r w:rsidR="008E2C2B" w:rsidRPr="005D2B3F">
        <w:t xml:space="preserve">other </w:t>
      </w:r>
      <w:r w:rsidRPr="005D2B3F">
        <w:t>cross-border territorial cooperation bodies having competence</w:t>
      </w:r>
      <w:r w:rsidR="008E2C2B" w:rsidRPr="005D2B3F">
        <w:t xml:space="preserve"> or specific tasks</w:t>
      </w:r>
      <w:r w:rsidRPr="005D2B3F">
        <w:t xml:space="preserve"> in developing and/or implementing policies with a territorial dimension;</w:t>
      </w:r>
    </w:p>
    <w:p w:rsidR="00FA58EA" w:rsidRPr="005D2B3F" w:rsidRDefault="00C87AD0" w:rsidP="00FE0925">
      <w:pPr>
        <w:pStyle w:val="ListParagraph"/>
        <w:numPr>
          <w:ilvl w:val="0"/>
          <w:numId w:val="3"/>
        </w:numPr>
        <w:spacing w:after="120" w:line="240" w:lineRule="auto"/>
        <w:jc w:val="both"/>
        <w:rPr>
          <w:b/>
        </w:rPr>
      </w:pPr>
      <w:r w:rsidRPr="005D2B3F">
        <w:t xml:space="preserve">Managing Authorities and </w:t>
      </w:r>
      <w:r w:rsidR="009E44B8" w:rsidRPr="005D2B3F">
        <w:t xml:space="preserve">joint </w:t>
      </w:r>
      <w:r w:rsidRPr="005D2B3F">
        <w:t xml:space="preserve">secretariats </w:t>
      </w:r>
      <w:r w:rsidR="007B78CF" w:rsidRPr="005D2B3F">
        <w:t>in the EU member states and the ESPON partner states (Iceland, Liechtenstein, Norway a</w:t>
      </w:r>
      <w:r w:rsidR="008E2C2B" w:rsidRPr="005D2B3F">
        <w:t xml:space="preserve">nd Switzerland), </w:t>
      </w:r>
      <w:r w:rsidR="00A62F23" w:rsidRPr="005D2B3F">
        <w:t xml:space="preserve">European Groupings of Territorial Cooperation </w:t>
      </w:r>
      <w:r w:rsidR="008E2C2B" w:rsidRPr="005D2B3F">
        <w:t xml:space="preserve">and other cross-border territorial cooperation bodies </w:t>
      </w:r>
      <w:r w:rsidR="007B78CF" w:rsidRPr="005D2B3F">
        <w:t xml:space="preserve">responsible for </w:t>
      </w:r>
      <w:r w:rsidRPr="005D2B3F">
        <w:t xml:space="preserve">implementing EU </w:t>
      </w:r>
      <w:r w:rsidR="00F200F4" w:rsidRPr="005D2B3F">
        <w:t>funded programmes</w:t>
      </w:r>
      <w:r w:rsidR="000C0CDE" w:rsidRPr="005D2B3F">
        <w:t xml:space="preserve"> for transnational, cross-border or macro-regional areas</w:t>
      </w:r>
      <w:r w:rsidR="00456DC4" w:rsidRPr="005D2B3F">
        <w:t>.</w:t>
      </w:r>
    </w:p>
    <w:p w:rsidR="000A35FB" w:rsidRPr="0001717B" w:rsidRDefault="000A35FB" w:rsidP="0001717B">
      <w:pPr>
        <w:pStyle w:val="CommentText"/>
        <w:spacing w:before="120" w:after="120" w:line="240" w:lineRule="auto"/>
        <w:jc w:val="both"/>
        <w:rPr>
          <w:sz w:val="22"/>
          <w:szCs w:val="22"/>
          <w:lang w:val="en-GB"/>
        </w:rPr>
      </w:pPr>
      <w:r w:rsidRPr="0001717B">
        <w:rPr>
          <w:sz w:val="22"/>
          <w:szCs w:val="22"/>
          <w:lang w:val="en-GB"/>
        </w:rPr>
        <w:t>The ESPON EGTC welcomes proposals either by single or several stakeholders</w:t>
      </w:r>
      <w:r w:rsidR="00667303" w:rsidRPr="0001717B">
        <w:rPr>
          <w:sz w:val="22"/>
          <w:szCs w:val="22"/>
          <w:lang w:val="en-GB"/>
        </w:rPr>
        <w:t>, acting jointly</w:t>
      </w:r>
      <w:r w:rsidRPr="0001717B">
        <w:rPr>
          <w:sz w:val="22"/>
          <w:szCs w:val="22"/>
          <w:lang w:val="en-GB"/>
        </w:rPr>
        <w:t>. This is to encourage a wide geographical coverage and that numerous countries, regions and cities can benefit of bespoke evidence. However, it is not a prerequisite to set up a stakeholder consortium. Targeted Analyses can also be selected if they are proposed by only one eligible stakeholder.</w:t>
      </w:r>
    </w:p>
    <w:p w:rsidR="00456DC4" w:rsidRPr="0001717B" w:rsidRDefault="00456DC4" w:rsidP="0001717B">
      <w:pPr>
        <w:pStyle w:val="CommentText"/>
        <w:spacing w:before="120" w:after="120" w:line="240" w:lineRule="auto"/>
        <w:jc w:val="both"/>
        <w:rPr>
          <w:sz w:val="22"/>
          <w:szCs w:val="22"/>
          <w:lang w:val="en-GB"/>
        </w:rPr>
      </w:pPr>
      <w:r w:rsidRPr="0001717B">
        <w:rPr>
          <w:sz w:val="22"/>
          <w:szCs w:val="22"/>
          <w:lang w:val="en-GB"/>
        </w:rPr>
        <w:t xml:space="preserve">Universities, academic experts and private companies are not eligible to submit stakeholder proposals for Targeted Analyses. Nonetheless, they have the opportunity to submit tenders in the framework of the open procurement procedure following the selection of </w:t>
      </w:r>
      <w:r w:rsidR="008A2C51" w:rsidRPr="0001717B">
        <w:rPr>
          <w:sz w:val="22"/>
          <w:szCs w:val="22"/>
          <w:lang w:val="en-GB"/>
        </w:rPr>
        <w:t xml:space="preserve">stakeholder proposals for </w:t>
      </w:r>
      <w:r w:rsidRPr="0001717B">
        <w:rPr>
          <w:sz w:val="22"/>
          <w:szCs w:val="22"/>
          <w:lang w:val="en-GB"/>
        </w:rPr>
        <w:t>Targeted Analyses.</w:t>
      </w:r>
    </w:p>
    <w:p w:rsidR="005F62D7" w:rsidRPr="0001717B" w:rsidRDefault="005F62D7" w:rsidP="0001717B">
      <w:pPr>
        <w:pStyle w:val="CommentText"/>
        <w:spacing w:before="120" w:after="120" w:line="240" w:lineRule="auto"/>
        <w:jc w:val="both"/>
        <w:rPr>
          <w:sz w:val="22"/>
          <w:szCs w:val="22"/>
          <w:lang w:val="en-GB"/>
        </w:rPr>
      </w:pPr>
      <w:r w:rsidRPr="0001717B">
        <w:rPr>
          <w:sz w:val="22"/>
          <w:szCs w:val="22"/>
          <w:lang w:val="en-GB"/>
        </w:rPr>
        <w:t>Eligible stakeholders can consider and propose involving representatives of European, national and regional “umbrella” organizations representing the interests of multiple sub-national (regional and/or local) authorities in the Steering Committee. Furthermore, additional representatives of local, regional, national or European authorities that are not involved in the stakeholder partnership can be invited to Steering Committee meetings as observers.</w:t>
      </w:r>
    </w:p>
    <w:p w:rsidR="0001717B" w:rsidRDefault="0001717B">
      <w:pPr>
        <w:spacing w:after="0" w:line="240" w:lineRule="auto"/>
      </w:pPr>
      <w:r>
        <w:lastRenderedPageBreak/>
        <w:br w:type="page"/>
      </w:r>
    </w:p>
    <w:p w:rsidR="00A62F23" w:rsidRPr="0001717B" w:rsidRDefault="00A62F23" w:rsidP="0001717B">
      <w:pPr>
        <w:pStyle w:val="CommentText"/>
        <w:spacing w:before="120" w:after="120" w:line="240" w:lineRule="auto"/>
        <w:jc w:val="both"/>
        <w:rPr>
          <w:sz w:val="22"/>
          <w:szCs w:val="22"/>
          <w:lang w:val="en-GB"/>
        </w:rPr>
      </w:pPr>
      <w:r w:rsidRPr="0001717B">
        <w:rPr>
          <w:sz w:val="22"/>
          <w:szCs w:val="22"/>
          <w:lang w:val="en-GB"/>
        </w:rPr>
        <w:lastRenderedPageBreak/>
        <w:t>The objective of the Steering Committee is:</w:t>
      </w:r>
    </w:p>
    <w:p w:rsidR="00A62F23" w:rsidRPr="005D2B3F" w:rsidRDefault="00A00E1A" w:rsidP="00780E65">
      <w:pPr>
        <w:numPr>
          <w:ilvl w:val="0"/>
          <w:numId w:val="10"/>
        </w:numPr>
        <w:spacing w:after="120" w:line="240" w:lineRule="auto"/>
        <w:ind w:left="714" w:hanging="357"/>
        <w:jc w:val="both"/>
      </w:pPr>
      <w:r w:rsidRPr="005D2B3F">
        <w:t xml:space="preserve">To </w:t>
      </w:r>
      <w:r w:rsidR="00A62F23" w:rsidRPr="005D2B3F">
        <w:t>ensure the involvement and active participation of stakeholders in the implementation and steering of the project;</w:t>
      </w:r>
    </w:p>
    <w:p w:rsidR="00A62F23" w:rsidRPr="005D2B3F" w:rsidRDefault="00A00E1A" w:rsidP="00780E65">
      <w:pPr>
        <w:numPr>
          <w:ilvl w:val="0"/>
          <w:numId w:val="10"/>
        </w:numPr>
        <w:spacing w:after="120" w:line="240" w:lineRule="auto"/>
        <w:ind w:left="714" w:hanging="357"/>
        <w:jc w:val="both"/>
      </w:pPr>
      <w:r w:rsidRPr="005D2B3F">
        <w:t xml:space="preserve">To </w:t>
      </w:r>
      <w:r w:rsidR="00A62F23" w:rsidRPr="005D2B3F">
        <w:t xml:space="preserve">safeguard the policy relevance of the </w:t>
      </w:r>
      <w:r w:rsidR="00667303" w:rsidRPr="005D2B3F">
        <w:t>T</w:t>
      </w:r>
      <w:r w:rsidR="00A62F23" w:rsidRPr="005D2B3F">
        <w:t xml:space="preserve">argeted </w:t>
      </w:r>
      <w:r w:rsidR="00667303" w:rsidRPr="005D2B3F">
        <w:t>A</w:t>
      </w:r>
      <w:r w:rsidR="00A62F23" w:rsidRPr="005D2B3F">
        <w:t>nalysis’ outputs for the stakeholders;</w:t>
      </w:r>
    </w:p>
    <w:p w:rsidR="00A62F23" w:rsidRPr="005D2B3F" w:rsidRDefault="00A00E1A" w:rsidP="00780E65">
      <w:pPr>
        <w:numPr>
          <w:ilvl w:val="0"/>
          <w:numId w:val="10"/>
        </w:numPr>
        <w:spacing w:after="120" w:line="240" w:lineRule="auto"/>
        <w:ind w:left="714" w:hanging="357"/>
        <w:jc w:val="both"/>
      </w:pPr>
      <w:r w:rsidRPr="005D2B3F">
        <w:t>To</w:t>
      </w:r>
      <w:r w:rsidR="00A62F23" w:rsidRPr="005D2B3F">
        <w:t xml:space="preserve"> facilitate the information and data flow between the service provider’s team, of which at least one representative should always be present at steering committee meetings, the stakeholders and the ESPON EGTC.</w:t>
      </w:r>
    </w:p>
    <w:p w:rsidR="00A62F23" w:rsidRPr="0001717B" w:rsidRDefault="00A62F23" w:rsidP="0001717B">
      <w:pPr>
        <w:pStyle w:val="CommentText"/>
        <w:spacing w:before="120" w:after="120" w:line="240" w:lineRule="auto"/>
        <w:jc w:val="both"/>
        <w:rPr>
          <w:sz w:val="22"/>
          <w:szCs w:val="22"/>
          <w:lang w:val="en-GB"/>
        </w:rPr>
      </w:pPr>
      <w:r w:rsidRPr="0001717B">
        <w:rPr>
          <w:sz w:val="22"/>
          <w:szCs w:val="22"/>
          <w:lang w:val="en-GB"/>
        </w:rPr>
        <w:t>The role of the Steering Committee is:</w:t>
      </w:r>
    </w:p>
    <w:p w:rsidR="00A62F23" w:rsidRPr="005D2B3F" w:rsidRDefault="00A00E1A" w:rsidP="00780E65">
      <w:pPr>
        <w:numPr>
          <w:ilvl w:val="0"/>
          <w:numId w:val="11"/>
        </w:numPr>
        <w:spacing w:after="120" w:line="240" w:lineRule="auto"/>
        <w:jc w:val="both"/>
      </w:pPr>
      <w:r w:rsidRPr="005D2B3F">
        <w:t xml:space="preserve">To </w:t>
      </w:r>
      <w:r w:rsidR="00A62F23" w:rsidRPr="005D2B3F">
        <w:t>discuss and give feedback to deliveries from the service provider and provide guidance to the latter for the next steps of service implementation;</w:t>
      </w:r>
    </w:p>
    <w:p w:rsidR="00A62F23" w:rsidRPr="005D2B3F" w:rsidRDefault="00A00E1A" w:rsidP="00D51774">
      <w:pPr>
        <w:numPr>
          <w:ilvl w:val="0"/>
          <w:numId w:val="11"/>
        </w:numPr>
        <w:spacing w:after="120" w:line="240" w:lineRule="auto"/>
        <w:jc w:val="both"/>
      </w:pPr>
      <w:r w:rsidRPr="005D2B3F">
        <w:t xml:space="preserve">To </w:t>
      </w:r>
      <w:r w:rsidR="00A62F23" w:rsidRPr="005D2B3F">
        <w:t>discuss and agree upon dissemination activities, particularly after the finalisation of the analytical work by the service provider.</w:t>
      </w:r>
    </w:p>
    <w:p w:rsidR="00CC34A5" w:rsidRPr="005D2B3F" w:rsidRDefault="007A13BA" w:rsidP="009E4D01">
      <w:pPr>
        <w:pStyle w:val="ListParagraph"/>
        <w:numPr>
          <w:ilvl w:val="0"/>
          <w:numId w:val="19"/>
        </w:numPr>
        <w:spacing w:before="240" w:after="120" w:line="240" w:lineRule="auto"/>
        <w:contextualSpacing w:val="0"/>
        <w:jc w:val="both"/>
        <w:rPr>
          <w:b/>
        </w:rPr>
      </w:pPr>
      <w:r w:rsidRPr="005D2B3F">
        <w:rPr>
          <w:b/>
        </w:rPr>
        <w:t>How to apply?</w:t>
      </w:r>
    </w:p>
    <w:p w:rsidR="00A833F3" w:rsidRPr="0001717B" w:rsidRDefault="00F06BC2" w:rsidP="0001717B">
      <w:pPr>
        <w:pStyle w:val="CommentText"/>
        <w:spacing w:before="120" w:after="120" w:line="240" w:lineRule="auto"/>
        <w:jc w:val="both"/>
        <w:rPr>
          <w:sz w:val="22"/>
          <w:szCs w:val="22"/>
          <w:lang w:val="en-GB"/>
        </w:rPr>
      </w:pPr>
      <w:r w:rsidRPr="0001717B">
        <w:rPr>
          <w:sz w:val="22"/>
          <w:szCs w:val="22"/>
          <w:lang w:val="en-GB"/>
        </w:rPr>
        <w:t xml:space="preserve">Applications are to be submitted electronically. </w:t>
      </w:r>
      <w:r w:rsidR="00A833F3" w:rsidRPr="0001717B">
        <w:rPr>
          <w:sz w:val="22"/>
          <w:szCs w:val="22"/>
          <w:lang w:val="en-GB"/>
        </w:rPr>
        <w:t xml:space="preserve">When submitting a stakeholder </w:t>
      </w:r>
      <w:r w:rsidR="00474E97" w:rsidRPr="0001717B">
        <w:rPr>
          <w:sz w:val="22"/>
          <w:szCs w:val="22"/>
          <w:lang w:val="en-GB"/>
        </w:rPr>
        <w:t>proposal,</w:t>
      </w:r>
      <w:r w:rsidR="00A833F3" w:rsidRPr="0001717B">
        <w:rPr>
          <w:sz w:val="22"/>
          <w:szCs w:val="22"/>
          <w:lang w:val="en-GB"/>
        </w:rPr>
        <w:t xml:space="preserve"> the following </w:t>
      </w:r>
      <w:r w:rsidR="0038408C" w:rsidRPr="0001717B">
        <w:rPr>
          <w:sz w:val="22"/>
          <w:szCs w:val="22"/>
          <w:lang w:val="en-GB"/>
        </w:rPr>
        <w:t xml:space="preserve">eligibility </w:t>
      </w:r>
      <w:r w:rsidR="00A833F3" w:rsidRPr="0001717B">
        <w:rPr>
          <w:sz w:val="22"/>
          <w:szCs w:val="22"/>
          <w:lang w:val="en-GB"/>
        </w:rPr>
        <w:t>requirements shall be fulfilled:</w:t>
      </w:r>
    </w:p>
    <w:p w:rsidR="00B83D90" w:rsidRPr="005D2B3F" w:rsidRDefault="00A00E1A" w:rsidP="00780E65">
      <w:pPr>
        <w:pStyle w:val="ListParagraph"/>
        <w:numPr>
          <w:ilvl w:val="0"/>
          <w:numId w:val="5"/>
        </w:numPr>
        <w:spacing w:after="120" w:line="240" w:lineRule="auto"/>
        <w:contextualSpacing w:val="0"/>
        <w:jc w:val="both"/>
      </w:pPr>
      <w:r w:rsidRPr="005D2B3F">
        <w:t xml:space="preserve">Proposals </w:t>
      </w:r>
      <w:r w:rsidR="00CC34A5" w:rsidRPr="005D2B3F">
        <w:t>includ</w:t>
      </w:r>
      <w:r w:rsidR="00A833F3" w:rsidRPr="005D2B3F">
        <w:t>e</w:t>
      </w:r>
      <w:r w:rsidR="00CC34A5" w:rsidRPr="005D2B3F">
        <w:t xml:space="preserve"> the completed electronic version of the application form in </w:t>
      </w:r>
      <w:r w:rsidR="006902FE" w:rsidRPr="005D2B3F">
        <w:t>word</w:t>
      </w:r>
      <w:r w:rsidR="00CC34A5" w:rsidRPr="005D2B3F">
        <w:t xml:space="preserve"> format; </w:t>
      </w:r>
      <w:r w:rsidR="00667303" w:rsidRPr="005D2B3F">
        <w:t xml:space="preserve">a </w:t>
      </w:r>
      <w:r w:rsidR="00CC34A5" w:rsidRPr="005D2B3F">
        <w:t>scanned</w:t>
      </w:r>
      <w:r w:rsidR="005353A0" w:rsidRPr="005D2B3F">
        <w:t>,</w:t>
      </w:r>
      <w:r w:rsidR="004A063F" w:rsidRPr="005D2B3F">
        <w:t xml:space="preserve"> signed and</w:t>
      </w:r>
      <w:r w:rsidR="00CC34A5" w:rsidRPr="005D2B3F">
        <w:t xml:space="preserve"> dated application</w:t>
      </w:r>
      <w:r w:rsidR="006C586A" w:rsidRPr="005D2B3F">
        <w:t xml:space="preserve"> form</w:t>
      </w:r>
      <w:r w:rsidR="004A063F" w:rsidRPr="005D2B3F">
        <w:t>;</w:t>
      </w:r>
      <w:r w:rsidR="00CC34A5" w:rsidRPr="005D2B3F">
        <w:t xml:space="preserve"> the scanned, signed</w:t>
      </w:r>
      <w:r w:rsidR="004A063F" w:rsidRPr="005D2B3F">
        <w:t xml:space="preserve"> and</w:t>
      </w:r>
      <w:r w:rsidR="00CC34A5" w:rsidRPr="005D2B3F">
        <w:t xml:space="preserve"> dated </w:t>
      </w:r>
      <w:r w:rsidR="006C586A" w:rsidRPr="005D2B3F">
        <w:t>letters of commitment</w:t>
      </w:r>
      <w:r w:rsidR="00CC34A5" w:rsidRPr="005D2B3F">
        <w:t xml:space="preserve"> of all participating stakeholders</w:t>
      </w:r>
      <w:r w:rsidR="00AB789E" w:rsidRPr="005D2B3F">
        <w:t xml:space="preserve"> (includi</w:t>
      </w:r>
      <w:r w:rsidR="00CC34A5" w:rsidRPr="005D2B3F">
        <w:t>ng the lead stakeholder)</w:t>
      </w:r>
      <w:r w:rsidR="00AB789E" w:rsidRPr="005D2B3F">
        <w:t>;</w:t>
      </w:r>
      <w:r w:rsidR="00CC34A5" w:rsidRPr="005D2B3F">
        <w:t xml:space="preserve"> </w:t>
      </w:r>
    </w:p>
    <w:p w:rsidR="00CC34A5" w:rsidRPr="005D2B3F" w:rsidRDefault="00A00E1A" w:rsidP="00B47D1C">
      <w:pPr>
        <w:pStyle w:val="ListParagraph"/>
        <w:numPr>
          <w:ilvl w:val="0"/>
          <w:numId w:val="5"/>
        </w:numPr>
        <w:spacing w:after="120" w:line="240" w:lineRule="auto"/>
        <w:contextualSpacing w:val="0"/>
        <w:jc w:val="both"/>
      </w:pPr>
      <w:r w:rsidRPr="005D2B3F">
        <w:t xml:space="preserve">The </w:t>
      </w:r>
      <w:r w:rsidR="00CC34A5" w:rsidRPr="005D2B3F">
        <w:t>application form shall be completed in</w:t>
      </w:r>
      <w:r w:rsidR="00B83D90" w:rsidRPr="005D2B3F">
        <w:t xml:space="preserve"> </w:t>
      </w:r>
      <w:r w:rsidR="00CC34A5" w:rsidRPr="005D2B3F">
        <w:t xml:space="preserve">English, </w:t>
      </w:r>
      <w:r w:rsidR="00667303" w:rsidRPr="005D2B3F">
        <w:t xml:space="preserve">and </w:t>
      </w:r>
      <w:r w:rsidR="00CC34A5" w:rsidRPr="005D2B3F">
        <w:t>in full</w:t>
      </w:r>
      <w:r w:rsidR="00AB789E" w:rsidRPr="005D2B3F">
        <w:t xml:space="preserve"> (all</w:t>
      </w:r>
      <w:r w:rsidR="00B83D90" w:rsidRPr="005D2B3F">
        <w:t xml:space="preserve"> </w:t>
      </w:r>
      <w:r w:rsidR="00667303" w:rsidRPr="005D2B3F">
        <w:t xml:space="preserve">white fields </w:t>
      </w:r>
      <w:r w:rsidR="00B83D90" w:rsidRPr="005D2B3F">
        <w:t>completed)</w:t>
      </w:r>
      <w:r w:rsidR="005353A0" w:rsidRPr="005D2B3F">
        <w:t>.</w:t>
      </w:r>
    </w:p>
    <w:p w:rsidR="00CC34A5" w:rsidRPr="005D2B3F" w:rsidRDefault="008669DD" w:rsidP="009E4D01">
      <w:pPr>
        <w:pStyle w:val="ListParagraph"/>
        <w:numPr>
          <w:ilvl w:val="0"/>
          <w:numId w:val="19"/>
        </w:numPr>
        <w:spacing w:before="240" w:after="120" w:line="240" w:lineRule="auto"/>
        <w:contextualSpacing w:val="0"/>
        <w:jc w:val="both"/>
        <w:rPr>
          <w:b/>
        </w:rPr>
      </w:pPr>
      <w:r w:rsidRPr="005D2B3F">
        <w:rPr>
          <w:b/>
        </w:rPr>
        <w:t xml:space="preserve">What happens if the </w:t>
      </w:r>
      <w:r w:rsidR="000C0CDE" w:rsidRPr="005D2B3F">
        <w:rPr>
          <w:b/>
        </w:rPr>
        <w:t xml:space="preserve">proposal </w:t>
      </w:r>
      <w:r w:rsidRPr="005D2B3F">
        <w:rPr>
          <w:b/>
        </w:rPr>
        <w:t xml:space="preserve">is incorrect or not complete by the submission deadline? (correctable </w:t>
      </w:r>
      <w:r w:rsidR="00A95ED9" w:rsidRPr="005D2B3F">
        <w:rPr>
          <w:b/>
        </w:rPr>
        <w:t>omissions</w:t>
      </w:r>
      <w:r w:rsidRPr="005D2B3F">
        <w:rPr>
          <w:b/>
        </w:rPr>
        <w:t>)</w:t>
      </w:r>
    </w:p>
    <w:p w:rsidR="005353A0" w:rsidRPr="0001717B" w:rsidRDefault="00CC34A5" w:rsidP="0001717B">
      <w:pPr>
        <w:pStyle w:val="CommentText"/>
        <w:spacing w:before="120" w:after="120" w:line="240" w:lineRule="auto"/>
        <w:jc w:val="both"/>
        <w:rPr>
          <w:sz w:val="22"/>
          <w:szCs w:val="22"/>
          <w:lang w:val="en-GB"/>
        </w:rPr>
      </w:pPr>
      <w:r w:rsidRPr="0001717B">
        <w:rPr>
          <w:sz w:val="22"/>
          <w:szCs w:val="22"/>
          <w:lang w:val="en-GB"/>
        </w:rPr>
        <w:t xml:space="preserve">In case of missing </w:t>
      </w:r>
      <w:r w:rsidR="000C0CDE" w:rsidRPr="0001717B">
        <w:rPr>
          <w:sz w:val="22"/>
          <w:szCs w:val="22"/>
          <w:lang w:val="en-GB"/>
        </w:rPr>
        <w:t xml:space="preserve">or incomplete </w:t>
      </w:r>
      <w:r w:rsidR="00B83D90" w:rsidRPr="0001717B">
        <w:rPr>
          <w:sz w:val="22"/>
          <w:szCs w:val="22"/>
          <w:lang w:val="en-GB"/>
        </w:rPr>
        <w:t>documents</w:t>
      </w:r>
      <w:r w:rsidRPr="0001717B">
        <w:rPr>
          <w:sz w:val="22"/>
          <w:szCs w:val="22"/>
          <w:lang w:val="en-GB"/>
        </w:rPr>
        <w:t>, the ESPON EGTC will run a correctable omission</w:t>
      </w:r>
      <w:r w:rsidR="0078412C" w:rsidRPr="0001717B">
        <w:rPr>
          <w:sz w:val="22"/>
          <w:szCs w:val="22"/>
          <w:lang w:val="en-GB"/>
        </w:rPr>
        <w:t>s</w:t>
      </w:r>
      <w:r w:rsidRPr="0001717B">
        <w:rPr>
          <w:sz w:val="22"/>
          <w:szCs w:val="22"/>
          <w:lang w:val="en-GB"/>
        </w:rPr>
        <w:t xml:space="preserve"> procedure. Stakeholders will be given the </w:t>
      </w:r>
      <w:r w:rsidR="0078412C" w:rsidRPr="0001717B">
        <w:rPr>
          <w:sz w:val="22"/>
          <w:szCs w:val="22"/>
          <w:lang w:val="en-GB"/>
        </w:rPr>
        <w:t>possibility</w:t>
      </w:r>
      <w:r w:rsidRPr="0001717B">
        <w:rPr>
          <w:sz w:val="22"/>
          <w:szCs w:val="22"/>
          <w:lang w:val="en-GB"/>
        </w:rPr>
        <w:t xml:space="preserve"> to complete the submitted </w:t>
      </w:r>
      <w:r w:rsidR="000C0CDE" w:rsidRPr="0001717B">
        <w:rPr>
          <w:sz w:val="22"/>
          <w:szCs w:val="22"/>
          <w:lang w:val="en-GB"/>
        </w:rPr>
        <w:t xml:space="preserve">proposal </w:t>
      </w:r>
      <w:r w:rsidRPr="0001717B">
        <w:rPr>
          <w:sz w:val="22"/>
          <w:szCs w:val="22"/>
          <w:lang w:val="en-GB"/>
        </w:rPr>
        <w:t xml:space="preserve">within </w:t>
      </w:r>
      <w:r w:rsidR="00B83D90" w:rsidRPr="0001717B">
        <w:rPr>
          <w:sz w:val="22"/>
          <w:szCs w:val="22"/>
          <w:lang w:val="en-GB"/>
        </w:rPr>
        <w:t>5 working</w:t>
      </w:r>
      <w:r w:rsidRPr="0001717B">
        <w:rPr>
          <w:sz w:val="22"/>
          <w:szCs w:val="22"/>
          <w:lang w:val="en-GB"/>
        </w:rPr>
        <w:t xml:space="preserve"> days.</w:t>
      </w:r>
    </w:p>
    <w:p w:rsidR="00AC70AF" w:rsidRPr="005D2B3F" w:rsidRDefault="00AC70AF" w:rsidP="009E4D01">
      <w:pPr>
        <w:pStyle w:val="ListParagraph"/>
        <w:numPr>
          <w:ilvl w:val="0"/>
          <w:numId w:val="19"/>
        </w:numPr>
        <w:spacing w:before="240" w:after="120" w:line="240" w:lineRule="auto"/>
        <w:contextualSpacing w:val="0"/>
        <w:jc w:val="both"/>
        <w:rPr>
          <w:b/>
        </w:rPr>
      </w:pPr>
      <w:r w:rsidRPr="005D2B3F">
        <w:rPr>
          <w:b/>
        </w:rPr>
        <w:t xml:space="preserve">What are the </w:t>
      </w:r>
      <w:r w:rsidR="00EB4E42" w:rsidRPr="005D2B3F">
        <w:rPr>
          <w:b/>
        </w:rPr>
        <w:t>selection</w:t>
      </w:r>
      <w:r w:rsidR="007D1FA8" w:rsidRPr="005D2B3F">
        <w:rPr>
          <w:b/>
        </w:rPr>
        <w:t xml:space="preserve"> criteria</w:t>
      </w:r>
      <w:r w:rsidRPr="005D2B3F">
        <w:rPr>
          <w:b/>
        </w:rPr>
        <w:t>?</w:t>
      </w:r>
    </w:p>
    <w:p w:rsidR="00AC70AF" w:rsidRPr="005D2B3F" w:rsidRDefault="00AC70AF" w:rsidP="00F200F4">
      <w:pPr>
        <w:jc w:val="both"/>
      </w:pPr>
      <w:r w:rsidRPr="005D2B3F">
        <w:t xml:space="preserve">When putting together </w:t>
      </w:r>
      <w:r w:rsidR="006C586A" w:rsidRPr="005D2B3F">
        <w:t xml:space="preserve">a proposal </w:t>
      </w:r>
      <w:r w:rsidRPr="005D2B3F">
        <w:t>for an</w:t>
      </w:r>
      <w:r w:rsidR="00B07C57" w:rsidRPr="005D2B3F">
        <w:t xml:space="preserve"> ESPON Targeted Analysis</w:t>
      </w:r>
      <w:r w:rsidRPr="005D2B3F">
        <w:t>, stakeholders should</w:t>
      </w:r>
      <w:r w:rsidR="009C5C33" w:rsidRPr="005D2B3F">
        <w:t xml:space="preserve"> </w:t>
      </w:r>
      <w:r w:rsidRPr="005D2B3F">
        <w:t xml:space="preserve">be aware </w:t>
      </w:r>
      <w:r w:rsidR="00D51774">
        <w:t>of the</w:t>
      </w:r>
      <w:r w:rsidR="00F06BC2" w:rsidRPr="005D2B3F">
        <w:t xml:space="preserve"> following</w:t>
      </w:r>
      <w:r w:rsidRPr="005D2B3F">
        <w:t xml:space="preserve"> </w:t>
      </w:r>
      <w:r w:rsidR="00F06BC2" w:rsidRPr="005D2B3F">
        <w:t>selection</w:t>
      </w:r>
      <w:r w:rsidRPr="005D2B3F">
        <w:t xml:space="preserve"> criteria</w:t>
      </w:r>
      <w:r w:rsidR="00782CDD" w:rsidRPr="005D2B3F">
        <w:t xml:space="preserve">, which are </w:t>
      </w:r>
      <w:r w:rsidR="00D51774">
        <w:t xml:space="preserve">used for the evaluation of all stakeholder proposals. These selection criteria are </w:t>
      </w:r>
      <w:r w:rsidR="00782CDD" w:rsidRPr="005D2B3F">
        <w:t>not weighted</w:t>
      </w:r>
      <w:r w:rsidR="00D51774">
        <w:t xml:space="preserve"> and are all of equal importance</w:t>
      </w:r>
      <w:r w:rsidRPr="005D2B3F">
        <w:t>:</w:t>
      </w:r>
    </w:p>
    <w:p w:rsidR="007B451A" w:rsidRPr="005D2B3F" w:rsidRDefault="007B451A" w:rsidP="007B451A">
      <w:pPr>
        <w:pStyle w:val="ListParagraph"/>
        <w:numPr>
          <w:ilvl w:val="0"/>
          <w:numId w:val="17"/>
        </w:numPr>
        <w:jc w:val="both"/>
        <w:rPr>
          <w:b/>
        </w:rPr>
      </w:pPr>
      <w:r w:rsidRPr="005D2B3F">
        <w:rPr>
          <w:b/>
        </w:rPr>
        <w:t xml:space="preserve">Relevance for place-based development strategies </w:t>
      </w:r>
    </w:p>
    <w:p w:rsidR="00C068F5" w:rsidRPr="00416379" w:rsidRDefault="007B451A" w:rsidP="00416379">
      <w:pPr>
        <w:ind w:left="360"/>
        <w:jc w:val="both"/>
      </w:pPr>
      <w:r w:rsidRPr="005D2B3F">
        <w:t>The analysis needs to be related to the stakeholders’ specific territorial context and the policy opportunities and challenges there. In this sense, the analytical results envisaged should feed into and support integrated place-based policy making of the territories in question.</w:t>
      </w:r>
    </w:p>
    <w:p w:rsidR="00AC70AF" w:rsidRPr="005D2B3F" w:rsidRDefault="00AC70AF" w:rsidP="00782CDD">
      <w:pPr>
        <w:pStyle w:val="ListParagraph"/>
        <w:numPr>
          <w:ilvl w:val="0"/>
          <w:numId w:val="17"/>
        </w:numPr>
        <w:jc w:val="both"/>
        <w:rPr>
          <w:b/>
        </w:rPr>
      </w:pPr>
      <w:r w:rsidRPr="005D2B3F">
        <w:rPr>
          <w:b/>
        </w:rPr>
        <w:t>Presence of Europea</w:t>
      </w:r>
      <w:r w:rsidR="00B07C57" w:rsidRPr="005D2B3F">
        <w:rPr>
          <w:b/>
        </w:rPr>
        <w:t>n perspective/dimension in the Targeted Analysis</w:t>
      </w:r>
      <w:r w:rsidR="000C5486" w:rsidRPr="005D2B3F">
        <w:rPr>
          <w:b/>
        </w:rPr>
        <w:t xml:space="preserve"> </w:t>
      </w:r>
    </w:p>
    <w:p w:rsidR="00AC70AF" w:rsidRDefault="00B23CAE" w:rsidP="007B451A">
      <w:pPr>
        <w:ind w:left="360"/>
        <w:jc w:val="both"/>
      </w:pPr>
      <w:r w:rsidRPr="005D2B3F">
        <w:t>Even though Targeted A</w:t>
      </w:r>
      <w:r w:rsidR="00AC70AF" w:rsidRPr="005D2B3F">
        <w:t>nalyses focus on specific study areas (i.e. the stakeholders’</w:t>
      </w:r>
      <w:r w:rsidR="006C0421" w:rsidRPr="005D2B3F">
        <w:t xml:space="preserve"> </w:t>
      </w:r>
      <w:r w:rsidR="00AC70AF" w:rsidRPr="005D2B3F">
        <w:t xml:space="preserve">territories), they need to </w:t>
      </w:r>
      <w:r w:rsidR="00054F57" w:rsidRPr="005D2B3F">
        <w:t>reflect</w:t>
      </w:r>
      <w:r w:rsidR="00AC70AF" w:rsidRPr="005D2B3F">
        <w:t xml:space="preserve"> a</w:t>
      </w:r>
      <w:r w:rsidR="00054F57" w:rsidRPr="005D2B3F">
        <w:t xml:space="preserve"> wider</w:t>
      </w:r>
      <w:r w:rsidR="00AC70AF" w:rsidRPr="005D2B3F">
        <w:t xml:space="preserve"> European</w:t>
      </w:r>
      <w:r w:rsidR="006C0421" w:rsidRPr="005D2B3F">
        <w:t xml:space="preserve"> </w:t>
      </w:r>
      <w:r w:rsidR="00AC70AF" w:rsidRPr="005D2B3F">
        <w:t>perspective. This means that</w:t>
      </w:r>
      <w:r w:rsidR="006C586A" w:rsidRPr="005D2B3F">
        <w:t xml:space="preserve"> </w:t>
      </w:r>
      <w:r w:rsidR="008E27E1" w:rsidRPr="005D2B3F">
        <w:t xml:space="preserve">the stakeholders should describe the prominence of the proposed </w:t>
      </w:r>
      <w:r w:rsidR="00B07C57" w:rsidRPr="005D2B3F">
        <w:t>Targeted Analysis</w:t>
      </w:r>
      <w:r w:rsidR="008E27E1" w:rsidRPr="005D2B3F">
        <w:t xml:space="preserve"> theme in the current EU policy context</w:t>
      </w:r>
      <w:r w:rsidR="00412E26" w:rsidRPr="005D2B3F">
        <w:t>;</w:t>
      </w:r>
      <w:r w:rsidR="008E27E1" w:rsidRPr="005D2B3F">
        <w:t xml:space="preserve"> or </w:t>
      </w:r>
      <w:r w:rsidR="00E62818" w:rsidRPr="005D2B3F">
        <w:t xml:space="preserve">the </w:t>
      </w:r>
      <w:r w:rsidR="008E27E1" w:rsidRPr="005D2B3F">
        <w:t xml:space="preserve">relevance of the topic for other countries involved in </w:t>
      </w:r>
      <w:r w:rsidR="00456DC4" w:rsidRPr="005D2B3F">
        <w:t xml:space="preserve">the </w:t>
      </w:r>
      <w:r w:rsidR="008E27E1" w:rsidRPr="005D2B3F">
        <w:t>ESPON 2020 programme</w:t>
      </w:r>
      <w:r w:rsidR="00412E26" w:rsidRPr="005D2B3F">
        <w:t>;</w:t>
      </w:r>
      <w:r w:rsidR="008E27E1" w:rsidRPr="005D2B3F">
        <w:t xml:space="preserve"> or </w:t>
      </w:r>
      <w:r w:rsidR="00D51774">
        <w:t xml:space="preserve">they should </w:t>
      </w:r>
      <w:r w:rsidR="008E27E1" w:rsidRPr="005D2B3F">
        <w:t>propose benchmarking of the stakeholders</w:t>
      </w:r>
      <w:r w:rsidR="00E62818" w:rsidRPr="005D2B3F">
        <w:t>’</w:t>
      </w:r>
      <w:r w:rsidR="008E27E1" w:rsidRPr="005D2B3F">
        <w:t xml:space="preserve"> territories in relation to other regions in Europe. </w:t>
      </w:r>
    </w:p>
    <w:p w:rsidR="007B451A" w:rsidRPr="005D2B3F" w:rsidRDefault="007B451A" w:rsidP="007B451A">
      <w:pPr>
        <w:pStyle w:val="ListParagraph"/>
        <w:numPr>
          <w:ilvl w:val="0"/>
          <w:numId w:val="17"/>
        </w:numPr>
        <w:jc w:val="both"/>
        <w:rPr>
          <w:b/>
        </w:rPr>
      </w:pPr>
      <w:r w:rsidRPr="005D2B3F">
        <w:rPr>
          <w:b/>
        </w:rPr>
        <w:lastRenderedPageBreak/>
        <w:t xml:space="preserve">Relevance and complementarity to existing ESPON territorial evidence </w:t>
      </w:r>
    </w:p>
    <w:p w:rsidR="007B451A" w:rsidRPr="005D2B3F" w:rsidRDefault="007B451A" w:rsidP="007B451A">
      <w:pPr>
        <w:ind w:left="360"/>
        <w:jc w:val="both"/>
      </w:pPr>
      <w:r w:rsidRPr="005D2B3F">
        <w:t xml:space="preserve">The ESPON 2013 Programme produced a wealth of territorial and analytical evidence. Furthermore, the ESPON 2020 Programme is currently implementing further applied research, Targeted Analyses and complementary tools and outreach activities. In order to maximise synergies, stakeholders </w:t>
      </w:r>
      <w:r>
        <w:t>need to</w:t>
      </w:r>
      <w:r w:rsidRPr="005D2B3F">
        <w:t xml:space="preserve"> consider how their project proposal relates to </w:t>
      </w:r>
      <w:r>
        <w:t>existing ESPON evidence</w:t>
      </w:r>
      <w:r w:rsidRPr="005D2B3F">
        <w:t xml:space="preserve"> and</w:t>
      </w:r>
      <w:r>
        <w:t>/or</w:t>
      </w:r>
      <w:r w:rsidRPr="005D2B3F">
        <w:t xml:space="preserve"> ongoing ESPON activities.</w:t>
      </w:r>
    </w:p>
    <w:p w:rsidR="007B451A" w:rsidRPr="005D2B3F" w:rsidRDefault="007B451A" w:rsidP="007B451A">
      <w:pPr>
        <w:pStyle w:val="ListParagraph"/>
        <w:numPr>
          <w:ilvl w:val="0"/>
          <w:numId w:val="17"/>
        </w:numPr>
        <w:jc w:val="both"/>
        <w:rPr>
          <w:b/>
        </w:rPr>
      </w:pPr>
      <w:r w:rsidRPr="005D2B3F">
        <w:rPr>
          <w:b/>
        </w:rPr>
        <w:t xml:space="preserve">Realism in analytical terms </w:t>
      </w:r>
    </w:p>
    <w:p w:rsidR="007B451A" w:rsidRDefault="007B451A" w:rsidP="007B451A">
      <w:pPr>
        <w:ind w:left="360"/>
        <w:jc w:val="both"/>
      </w:pPr>
      <w:r w:rsidRPr="005D2B3F">
        <w:t>Stakeholder proposals should be of such a character that the analysis is feasible in terms of methodology, indicators and data provision. Existing relevant sources should be complemented with specific stakeholder knowledge, data and other information in order to create the new bespoke evidence that should result from the Targeted Analysis.</w:t>
      </w:r>
    </w:p>
    <w:p w:rsidR="007B451A" w:rsidRPr="005D2B3F" w:rsidRDefault="007B451A" w:rsidP="007B451A">
      <w:pPr>
        <w:pStyle w:val="ListParagraph"/>
        <w:numPr>
          <w:ilvl w:val="0"/>
          <w:numId w:val="17"/>
        </w:numPr>
        <w:jc w:val="both"/>
        <w:rPr>
          <w:b/>
        </w:rPr>
      </w:pPr>
      <w:r w:rsidRPr="005D2B3F">
        <w:rPr>
          <w:b/>
        </w:rPr>
        <w:t xml:space="preserve">Competent involvement of stakeholders in the analytical process and in steering of the activity </w:t>
      </w:r>
    </w:p>
    <w:p w:rsidR="007B451A" w:rsidRPr="005D2B3F" w:rsidRDefault="007B451A" w:rsidP="007B451A">
      <w:pPr>
        <w:ind w:left="360"/>
        <w:jc w:val="both"/>
      </w:pPr>
      <w:r w:rsidRPr="005D2B3F">
        <w:t xml:space="preserve">Stakeholders proposing an ESPON Targeted Analysis need to bear in mind that their active involvement in the analytical process is required to receive meaningful and useful results. This means that stakeholders shall commit to provide regional/local data, relevant documents and proactively and continuously engage with the experts that are contracted by the ESPON EGTC to perform the analysis. This </w:t>
      </w:r>
      <w:r>
        <w:t>will</w:t>
      </w:r>
      <w:r w:rsidRPr="005D2B3F">
        <w:t xml:space="preserve"> involve travel and other related costs</w:t>
      </w:r>
      <w:r>
        <w:t xml:space="preserve"> (e.g. for attending Steering Committee meetings)</w:t>
      </w:r>
      <w:r w:rsidRPr="005D2B3F">
        <w:t xml:space="preserve">. </w:t>
      </w:r>
    </w:p>
    <w:p w:rsidR="007B451A" w:rsidRPr="005D2B3F" w:rsidRDefault="007B451A" w:rsidP="007B451A">
      <w:pPr>
        <w:pStyle w:val="ListParagraph"/>
        <w:numPr>
          <w:ilvl w:val="0"/>
          <w:numId w:val="17"/>
        </w:numPr>
        <w:jc w:val="both"/>
        <w:rPr>
          <w:b/>
        </w:rPr>
      </w:pPr>
      <w:r w:rsidRPr="005D2B3F">
        <w:rPr>
          <w:b/>
        </w:rPr>
        <w:t xml:space="preserve">Use of the analytical results in policy making </w:t>
      </w:r>
    </w:p>
    <w:p w:rsidR="009E4D01" w:rsidRPr="00416379" w:rsidRDefault="007B451A" w:rsidP="00416379">
      <w:pPr>
        <w:ind w:left="360"/>
        <w:jc w:val="both"/>
      </w:pPr>
      <w:r w:rsidRPr="005D2B3F">
        <w:t>Stakeholders should have a clear view on what they want to do with the output of the analytical activity and dispose of the necessary competencies and capacities for applying the analytical results in policy-making process</w:t>
      </w:r>
      <w:r>
        <w:t>es</w:t>
      </w:r>
      <w:r w:rsidRPr="005D2B3F">
        <w:t>. Therefore, they should specifically indicate how and when they plan to make concrete use of the results</w:t>
      </w:r>
      <w:r>
        <w:t>,</w:t>
      </w:r>
      <w:r w:rsidRPr="005D2B3F">
        <w:t xml:space="preserve"> coming out of the Targeted Analysis they request</w:t>
      </w:r>
      <w:r>
        <w:t>,</w:t>
      </w:r>
      <w:r w:rsidRPr="005D2B3F">
        <w:t xml:space="preserve"> in policy-making and/or strategic planning process</w:t>
      </w:r>
      <w:r>
        <w:t>es</w:t>
      </w:r>
      <w:r w:rsidRPr="005D2B3F">
        <w:t xml:space="preserve">. Results should, for instance, feed into specific policy planning documents and/or a territorial development strategy. </w:t>
      </w:r>
    </w:p>
    <w:p w:rsidR="00AC70AF" w:rsidRPr="005D2B3F" w:rsidRDefault="007B451A" w:rsidP="007B451A">
      <w:pPr>
        <w:pStyle w:val="ListParagraph"/>
        <w:numPr>
          <w:ilvl w:val="0"/>
          <w:numId w:val="17"/>
        </w:numPr>
        <w:jc w:val="both"/>
        <w:rPr>
          <w:b/>
        </w:rPr>
      </w:pPr>
      <w:r>
        <w:rPr>
          <w:b/>
        </w:rPr>
        <w:t>D</w:t>
      </w:r>
      <w:r w:rsidR="00AC70AF" w:rsidRPr="005D2B3F">
        <w:rPr>
          <w:b/>
        </w:rPr>
        <w:t>egree of added value and transferability</w:t>
      </w:r>
      <w:r w:rsidR="000C5486" w:rsidRPr="005D2B3F">
        <w:rPr>
          <w:b/>
        </w:rPr>
        <w:t xml:space="preserve"> </w:t>
      </w:r>
    </w:p>
    <w:p w:rsidR="00AC70AF" w:rsidRPr="005D2B3F" w:rsidRDefault="00B07C57" w:rsidP="00782CDD">
      <w:pPr>
        <w:ind w:left="360"/>
        <w:jc w:val="both"/>
      </w:pPr>
      <w:r w:rsidRPr="005D2B3F">
        <w:t xml:space="preserve">The results expected </w:t>
      </w:r>
      <w:r w:rsidR="00667303" w:rsidRPr="005D2B3F">
        <w:t>from</w:t>
      </w:r>
      <w:r w:rsidRPr="005D2B3F">
        <w:t xml:space="preserve"> a Targeted Analysis</w:t>
      </w:r>
      <w:r w:rsidR="00AC70AF" w:rsidRPr="005D2B3F">
        <w:t xml:space="preserve"> should offer a clear added value to the</w:t>
      </w:r>
      <w:r w:rsidR="006C0421" w:rsidRPr="005D2B3F">
        <w:t xml:space="preserve"> </w:t>
      </w:r>
      <w:r w:rsidR="00AC70AF" w:rsidRPr="005D2B3F">
        <w:t xml:space="preserve">stakeholders </w:t>
      </w:r>
      <w:r w:rsidR="005365F6">
        <w:t>involved in</w:t>
      </w:r>
      <w:r w:rsidR="00AC70AF" w:rsidRPr="005D2B3F">
        <w:t xml:space="preserve"> the activity. </w:t>
      </w:r>
      <w:r w:rsidR="005365F6">
        <w:t>It should be possible for stakeholders to transfer the r</w:t>
      </w:r>
      <w:r w:rsidR="00AC70AF" w:rsidRPr="005D2B3F">
        <w:t xml:space="preserve">esults </w:t>
      </w:r>
      <w:r w:rsidR="00412E26" w:rsidRPr="005D2B3F">
        <w:t>to the</w:t>
      </w:r>
      <w:r w:rsidR="005365F6">
        <w:t>ir</w:t>
      </w:r>
      <w:r w:rsidR="00AC70AF" w:rsidRPr="005D2B3F">
        <w:t xml:space="preserve"> particular </w:t>
      </w:r>
      <w:r w:rsidR="005365F6">
        <w:t xml:space="preserve">practical </w:t>
      </w:r>
      <w:r w:rsidR="00AC70AF" w:rsidRPr="005D2B3F">
        <w:t>policy contexts. At the same time,</w:t>
      </w:r>
      <w:r w:rsidR="006C0421" w:rsidRPr="005D2B3F">
        <w:t xml:space="preserve"> </w:t>
      </w:r>
      <w:r w:rsidR="005365F6">
        <w:t xml:space="preserve">Targeted Analyses results should lend themselves to transfer to </w:t>
      </w:r>
      <w:r w:rsidR="00AC70AF" w:rsidRPr="005D2B3F">
        <w:t>other countries, regions or cities throughout Europe</w:t>
      </w:r>
      <w:r w:rsidR="005365F6">
        <w:t>, although they were not involved in a particular activity.</w:t>
      </w:r>
      <w:r w:rsidR="00AC70AF" w:rsidRPr="005D2B3F">
        <w:t xml:space="preserve"> </w:t>
      </w:r>
    </w:p>
    <w:p w:rsidR="009D6984" w:rsidRDefault="00D34FAB" w:rsidP="0001717B">
      <w:pPr>
        <w:jc w:val="both"/>
      </w:pPr>
      <w:r>
        <w:t>Stakeholder p</w:t>
      </w:r>
      <w:r w:rsidR="000A35FB" w:rsidRPr="005D2B3F">
        <w:t xml:space="preserve">roposals will be evaluated according to the </w:t>
      </w:r>
      <w:r w:rsidR="0001717B" w:rsidRPr="005D2B3F">
        <w:t>above-mentioned</w:t>
      </w:r>
      <w:r w:rsidR="000A35FB" w:rsidRPr="005D2B3F">
        <w:t xml:space="preserve"> criteria on a scale from </w:t>
      </w:r>
      <w:r w:rsidR="00441DA5" w:rsidRPr="005D2B3F">
        <w:t>0</w:t>
      </w:r>
      <w:r w:rsidR="000A35FB" w:rsidRPr="005D2B3F">
        <w:t xml:space="preserve">-10. On each of the criteria the proposal has to receive a minimum of 6 points, otherwise </w:t>
      </w:r>
      <w:r w:rsidR="00441DA5" w:rsidRPr="005D2B3F">
        <w:t>it</w:t>
      </w:r>
      <w:r w:rsidR="000A35FB" w:rsidRPr="005D2B3F">
        <w:t xml:space="preserve"> will not be considered further.</w:t>
      </w:r>
      <w:r w:rsidR="00384703">
        <w:t xml:space="preserve"> Any proposal that will receive a minimum of 42 points will be ranked from the highest to the lowest.</w:t>
      </w:r>
    </w:p>
    <w:p w:rsidR="00B07C57" w:rsidRPr="005D2B3F" w:rsidRDefault="00B07C57" w:rsidP="009E4D01">
      <w:pPr>
        <w:pStyle w:val="ListParagraph"/>
        <w:numPr>
          <w:ilvl w:val="0"/>
          <w:numId w:val="19"/>
        </w:numPr>
        <w:spacing w:before="240" w:after="120" w:line="240" w:lineRule="auto"/>
        <w:contextualSpacing w:val="0"/>
        <w:jc w:val="both"/>
        <w:rPr>
          <w:b/>
        </w:rPr>
      </w:pPr>
      <w:r w:rsidRPr="005D2B3F">
        <w:rPr>
          <w:b/>
        </w:rPr>
        <w:t>What are the duties of stakeholders once their proposal is selected?</w:t>
      </w:r>
    </w:p>
    <w:p w:rsidR="00B07C57" w:rsidRPr="005D2B3F" w:rsidRDefault="00B07C57" w:rsidP="00B07C57">
      <w:pPr>
        <w:jc w:val="both"/>
      </w:pPr>
      <w:r w:rsidRPr="005D2B3F">
        <w:lastRenderedPageBreak/>
        <w:t>Lead stakeholders behind selected stakeholder proposals will receive a selection letter from the ESPON EGTC, together with the following two documents:</w:t>
      </w:r>
    </w:p>
    <w:p w:rsidR="00B07C57" w:rsidRPr="005D2B3F" w:rsidRDefault="00B07C57" w:rsidP="00B07C57">
      <w:pPr>
        <w:pStyle w:val="ListParagraph"/>
        <w:numPr>
          <w:ilvl w:val="0"/>
          <w:numId w:val="1"/>
        </w:numPr>
        <w:jc w:val="both"/>
      </w:pPr>
      <w:r w:rsidRPr="005D2B3F">
        <w:t>A Declaration of No Conflict of Interest. This needs to be dated and signed both by the lead stakeholder and by the participating stakeholders</w:t>
      </w:r>
      <w:r w:rsidR="00710E1C">
        <w:t xml:space="preserve"> (one form each)</w:t>
      </w:r>
      <w:r w:rsidRPr="005D2B3F">
        <w:t>, and sent</w:t>
      </w:r>
      <w:r w:rsidR="00E92157" w:rsidRPr="005D2B3F">
        <w:t xml:space="preserve"> back to the ESPON EGTC </w:t>
      </w:r>
      <w:r w:rsidR="00122884" w:rsidRPr="005D2B3F">
        <w:t xml:space="preserve">as a </w:t>
      </w:r>
      <w:r w:rsidR="00E92157" w:rsidRPr="005D2B3F">
        <w:t>scanned</w:t>
      </w:r>
      <w:r w:rsidR="00122884" w:rsidRPr="005D2B3F">
        <w:t xml:space="preserve"> copy</w:t>
      </w:r>
      <w:r w:rsidRPr="005D2B3F">
        <w:t xml:space="preserve">. </w:t>
      </w:r>
    </w:p>
    <w:p w:rsidR="00416379" w:rsidRPr="005D2B3F" w:rsidRDefault="00B07C57" w:rsidP="00416379">
      <w:pPr>
        <w:pStyle w:val="ListParagraph"/>
        <w:numPr>
          <w:ilvl w:val="0"/>
          <w:numId w:val="1"/>
        </w:numPr>
        <w:jc w:val="both"/>
      </w:pPr>
      <w:r w:rsidRPr="005D2B3F">
        <w:t xml:space="preserve">A Stakeholder Cooperation Agreement, which needs to be dated and signed by the </w:t>
      </w:r>
      <w:r w:rsidR="00122884" w:rsidRPr="005D2B3F">
        <w:t>l</w:t>
      </w:r>
      <w:r w:rsidR="00EA6ED6" w:rsidRPr="005D2B3F">
        <w:t xml:space="preserve">ead </w:t>
      </w:r>
      <w:r w:rsidR="00B664FC" w:rsidRPr="005D2B3F">
        <w:t>s</w:t>
      </w:r>
      <w:r w:rsidRPr="005D2B3F">
        <w:t xml:space="preserve">takeholder and sent to the ESPON EGTC. The ESPON EGTC then countersigns the Stakeholder Cooperation Agreement and sends a copy to the </w:t>
      </w:r>
      <w:r w:rsidR="00122884" w:rsidRPr="005D2B3F">
        <w:t>l</w:t>
      </w:r>
      <w:r w:rsidR="00EA6ED6" w:rsidRPr="005D2B3F">
        <w:t xml:space="preserve">ead </w:t>
      </w:r>
      <w:r w:rsidR="00122884" w:rsidRPr="005D2B3F">
        <w:t>s</w:t>
      </w:r>
      <w:r w:rsidRPr="005D2B3F">
        <w:t>takeholder.</w:t>
      </w:r>
      <w:r w:rsidR="00B23CAE" w:rsidRPr="005D2B3F">
        <w:t xml:space="preserve"> </w:t>
      </w:r>
    </w:p>
    <w:p w:rsidR="00B07C57" w:rsidRPr="005D2B3F" w:rsidRDefault="00B23CAE" w:rsidP="00B23CAE">
      <w:pPr>
        <w:pStyle w:val="ListParagraph"/>
        <w:ind w:left="0"/>
        <w:jc w:val="both"/>
      </w:pPr>
      <w:r w:rsidRPr="005D2B3F">
        <w:t xml:space="preserve">A template of the Declaration of No Conflict of Interest and the Stakeholder Cooperation Agreement can be found on the ESPON 2020 </w:t>
      </w:r>
      <w:r w:rsidR="00122884" w:rsidRPr="005D2B3F">
        <w:t>website</w:t>
      </w:r>
    </w:p>
    <w:p w:rsidR="00B07C57" w:rsidRPr="005D2B3F" w:rsidRDefault="00793FAB" w:rsidP="00B07C57">
      <w:pPr>
        <w:jc w:val="both"/>
      </w:pPr>
      <w:r w:rsidRPr="005D2B3F">
        <w:t xml:space="preserve">By signing the Stakeholder Cooperation </w:t>
      </w:r>
      <w:r w:rsidR="009E4D01" w:rsidRPr="005D2B3F">
        <w:t>Agreement,</w:t>
      </w:r>
      <w:r w:rsidR="00B07C57" w:rsidRPr="005D2B3F">
        <w:t xml:space="preserve"> </w:t>
      </w:r>
      <w:r w:rsidRPr="005D2B3F">
        <w:t>t</w:t>
      </w:r>
      <w:r w:rsidR="00B664FC" w:rsidRPr="005D2B3F">
        <w:t xml:space="preserve">he </w:t>
      </w:r>
      <w:r w:rsidR="00122884" w:rsidRPr="005D2B3F">
        <w:t>l</w:t>
      </w:r>
      <w:r w:rsidRPr="005D2B3F">
        <w:t>ead stakeholder</w:t>
      </w:r>
      <w:r w:rsidR="00B07C57" w:rsidRPr="005D2B3F">
        <w:t xml:space="preserve"> will commit to:</w:t>
      </w:r>
    </w:p>
    <w:p w:rsidR="00B07C57" w:rsidRPr="005D2B3F" w:rsidRDefault="00D334E7" w:rsidP="00B07C57">
      <w:pPr>
        <w:numPr>
          <w:ilvl w:val="0"/>
          <w:numId w:val="9"/>
        </w:numPr>
        <w:jc w:val="both"/>
      </w:pPr>
      <w:r w:rsidRPr="005D2B3F">
        <w:t xml:space="preserve">Participate </w:t>
      </w:r>
      <w:r w:rsidR="00B07C57" w:rsidRPr="005D2B3F">
        <w:t>at ow</w:t>
      </w:r>
      <w:r w:rsidR="00793FAB" w:rsidRPr="005D2B3F">
        <w:t>n costs in the steering of the Targeted A</w:t>
      </w:r>
      <w:r w:rsidR="00B07C57" w:rsidRPr="005D2B3F">
        <w:t>nalysis</w:t>
      </w:r>
      <w:r w:rsidR="00793FAB" w:rsidRPr="005D2B3F">
        <w:t xml:space="preserve"> (this will incur some travel costs, for instance)</w:t>
      </w:r>
      <w:r w:rsidR="00B07C57" w:rsidRPr="005D2B3F">
        <w:t>;</w:t>
      </w:r>
    </w:p>
    <w:p w:rsidR="00B07C57" w:rsidRPr="005D2B3F" w:rsidRDefault="00D334E7" w:rsidP="00B07C57">
      <w:pPr>
        <w:numPr>
          <w:ilvl w:val="0"/>
          <w:numId w:val="9"/>
        </w:numPr>
        <w:jc w:val="both"/>
      </w:pPr>
      <w:r w:rsidRPr="005D2B3F">
        <w:t xml:space="preserve">Deliver </w:t>
      </w:r>
      <w:r w:rsidR="00B07C57" w:rsidRPr="005D2B3F">
        <w:t xml:space="preserve">regional/local information and data (if needed); </w:t>
      </w:r>
    </w:p>
    <w:p w:rsidR="00CF43BF" w:rsidRPr="00416379" w:rsidRDefault="00B07C57" w:rsidP="00416379">
      <w:pPr>
        <w:numPr>
          <w:ilvl w:val="0"/>
          <w:numId w:val="9"/>
        </w:numPr>
        <w:jc w:val="both"/>
      </w:pPr>
      <w:r w:rsidRPr="005D2B3F">
        <w:t xml:space="preserve">Support (at own expenses) the uptake </w:t>
      </w:r>
      <w:r w:rsidR="00793FAB" w:rsidRPr="005D2B3F">
        <w:t>and transfer of results of the Targeted A</w:t>
      </w:r>
      <w:r w:rsidRPr="005D2B3F">
        <w:t>nalysis via communication activities</w:t>
      </w:r>
      <w:r w:rsidR="00EA6ED6" w:rsidRPr="005D2B3F">
        <w:t xml:space="preserve"> after having consulted the Steering Committee</w:t>
      </w:r>
      <w:r w:rsidRPr="005D2B3F">
        <w:t>.</w:t>
      </w:r>
      <w:r w:rsidR="00D43129" w:rsidRPr="005D2B3F">
        <w:t xml:space="preserve"> </w:t>
      </w:r>
      <w:r w:rsidR="00BA3B77" w:rsidRPr="005D2B3F">
        <w:t>In line with the publicity requirements, a reference should be made</w:t>
      </w:r>
      <w:r w:rsidR="00122884" w:rsidRPr="005D2B3F">
        <w:t xml:space="preserve"> in all communication activities</w:t>
      </w:r>
      <w:r w:rsidR="00BA3B77" w:rsidRPr="005D2B3F">
        <w:t xml:space="preserve"> that the Targeted Analysis has been financed by </w:t>
      </w:r>
      <w:r w:rsidR="00D26D89" w:rsidRPr="005D2B3F">
        <w:t xml:space="preserve">the </w:t>
      </w:r>
      <w:r w:rsidR="00BA3B77" w:rsidRPr="005D2B3F">
        <w:t xml:space="preserve">ESPON 2020 Cooperation </w:t>
      </w:r>
      <w:r w:rsidR="00710E1C">
        <w:t>P</w:t>
      </w:r>
      <w:r w:rsidR="00BA3B77" w:rsidRPr="005D2B3F">
        <w:t>rogramme.</w:t>
      </w:r>
    </w:p>
    <w:p w:rsidR="00B07C57" w:rsidRPr="005D2B3F" w:rsidRDefault="00B07C57" w:rsidP="00D26D89">
      <w:pPr>
        <w:numPr>
          <w:ilvl w:val="0"/>
          <w:numId w:val="15"/>
        </w:numPr>
        <w:ind w:left="284" w:hanging="284"/>
        <w:jc w:val="both"/>
        <w:rPr>
          <w:b/>
        </w:rPr>
      </w:pPr>
      <w:r w:rsidRPr="005D2B3F">
        <w:rPr>
          <w:b/>
        </w:rPr>
        <w:t>What happens with stakeholder proposals that are not selected?</w:t>
      </w:r>
    </w:p>
    <w:p w:rsidR="00C86A5E" w:rsidRPr="005D2B3F" w:rsidRDefault="00C86A5E" w:rsidP="00C86A5E">
      <w:pPr>
        <w:spacing w:after="120" w:line="240" w:lineRule="auto"/>
        <w:jc w:val="both"/>
      </w:pPr>
      <w:r w:rsidRPr="005D2B3F">
        <w:t xml:space="preserve">If a proposal </w:t>
      </w:r>
      <w:r>
        <w:t>is not</w:t>
      </w:r>
      <w:r w:rsidRPr="005D2B3F">
        <w:t xml:space="preserve"> selected, stakeholders have a possibility to improve their proposals and resubmit them at a later stage.</w:t>
      </w:r>
    </w:p>
    <w:p w:rsidR="00C45663" w:rsidRPr="005D2B3F" w:rsidRDefault="00710E1C" w:rsidP="002C3214">
      <w:pPr>
        <w:jc w:val="both"/>
        <w:rPr>
          <w:color w:val="000000"/>
        </w:rPr>
      </w:pPr>
      <w:r>
        <w:t>Stakeholders that</w:t>
      </w:r>
      <w:r w:rsidR="00C45663" w:rsidRPr="005D2B3F">
        <w:t xml:space="preserve"> wish to lodge a complaint against a decision </w:t>
      </w:r>
      <w:r>
        <w:t>of</w:t>
      </w:r>
      <w:r w:rsidRPr="005D2B3F">
        <w:t xml:space="preserve"> the ESPON EGTC </w:t>
      </w:r>
      <w:r>
        <w:t>to not</w:t>
      </w:r>
      <w:r w:rsidR="00C45663" w:rsidRPr="005D2B3F">
        <w:t xml:space="preserve"> select </w:t>
      </w:r>
      <w:r>
        <w:t>a</w:t>
      </w:r>
      <w:r w:rsidR="00C45663" w:rsidRPr="005D2B3F">
        <w:t xml:space="preserve"> proposal may do so within 10 working days counting from the reception date of the rejection letter by email. </w:t>
      </w:r>
      <w:r w:rsidR="00C45663" w:rsidRPr="005D2B3F">
        <w:rPr>
          <w:color w:val="000000"/>
        </w:rPr>
        <w:t xml:space="preserve">The </w:t>
      </w:r>
      <w:r w:rsidR="00C45663" w:rsidRPr="005D2B3F">
        <w:t xml:space="preserve">complaint should be lodged by the lead stakeholder to </w:t>
      </w:r>
      <w:hyperlink r:id="rId10" w:history="1">
        <w:r w:rsidR="0031299C" w:rsidRPr="005D2B3F">
          <w:rPr>
            <w:rStyle w:val="Hyperlink"/>
          </w:rPr>
          <w:t>application@espon.eu</w:t>
        </w:r>
      </w:hyperlink>
      <w:r w:rsidR="0031299C" w:rsidRPr="005D2B3F">
        <w:t xml:space="preserve"> in the format of a </w:t>
      </w:r>
      <w:r>
        <w:t>duly signed scanned letter and it needs to indicate the reasons behind the complaint.</w:t>
      </w:r>
    </w:p>
    <w:p w:rsidR="005022F5" w:rsidRPr="005D2B3F" w:rsidRDefault="005022F5" w:rsidP="006301BA">
      <w:pPr>
        <w:jc w:val="both"/>
      </w:pPr>
      <w:r w:rsidRPr="005D2B3F">
        <w:t>T</w:t>
      </w:r>
      <w:r w:rsidR="00021C07" w:rsidRPr="005D2B3F">
        <w:t xml:space="preserve">he ESPON EGTC will refer the complaint to the </w:t>
      </w:r>
      <w:r w:rsidR="007A7156" w:rsidRPr="005D2B3F">
        <w:t>ESPON Managing Authority.</w:t>
      </w:r>
      <w:r w:rsidR="006301BA" w:rsidRPr="005D2B3F">
        <w:t xml:space="preserve"> </w:t>
      </w:r>
      <w:r w:rsidRPr="005D2B3F">
        <w:t xml:space="preserve">Provided the complaint is lodged within the given deadline, </w:t>
      </w:r>
      <w:r w:rsidR="003A328C">
        <w:t>refers to</w:t>
      </w:r>
      <w:r w:rsidRPr="005D2B3F">
        <w:t xml:space="preserve"> procedural aspects and contains valid and reasonable arguments, the MA will investigate the complaint.</w:t>
      </w:r>
    </w:p>
    <w:p w:rsidR="005022F5" w:rsidRPr="005D2B3F" w:rsidRDefault="005022F5" w:rsidP="005022F5">
      <w:pPr>
        <w:jc w:val="both"/>
        <w:rPr>
          <w:color w:val="000000"/>
        </w:rPr>
      </w:pPr>
      <w:r w:rsidRPr="005D2B3F">
        <w:t>Should the MA consider that the complaint</w:t>
      </w:r>
      <w:r w:rsidR="00F24B5C" w:rsidRPr="005D2B3F">
        <w:t xml:space="preserve"> is</w:t>
      </w:r>
      <w:r w:rsidRPr="005D2B3F">
        <w:t xml:space="preserve"> founded, it will draft a report to the attention of the ESPON EGTC </w:t>
      </w:r>
      <w:r w:rsidR="00C45663" w:rsidRPr="005D2B3F">
        <w:rPr>
          <w:color w:val="000000"/>
        </w:rPr>
        <w:t>request</w:t>
      </w:r>
      <w:r w:rsidRPr="005D2B3F">
        <w:rPr>
          <w:color w:val="000000"/>
        </w:rPr>
        <w:t>ing</w:t>
      </w:r>
      <w:r w:rsidR="00C45663" w:rsidRPr="005D2B3F">
        <w:rPr>
          <w:color w:val="000000"/>
        </w:rPr>
        <w:t xml:space="preserve"> the </w:t>
      </w:r>
      <w:r w:rsidR="003A328C">
        <w:rPr>
          <w:color w:val="000000"/>
        </w:rPr>
        <w:t>latter</w:t>
      </w:r>
      <w:r w:rsidR="002C3214" w:rsidRPr="005D2B3F">
        <w:rPr>
          <w:color w:val="000000"/>
        </w:rPr>
        <w:t xml:space="preserve"> to re-evaluate the proposal(s).</w:t>
      </w:r>
      <w:r w:rsidR="006301BA" w:rsidRPr="005D2B3F">
        <w:rPr>
          <w:color w:val="000000"/>
        </w:rPr>
        <w:t xml:space="preserve"> </w:t>
      </w:r>
    </w:p>
    <w:p w:rsidR="003A328C" w:rsidRPr="005D2B3F" w:rsidRDefault="002C3214" w:rsidP="003A328C">
      <w:pPr>
        <w:spacing w:after="120" w:line="240" w:lineRule="auto"/>
        <w:jc w:val="both"/>
      </w:pPr>
      <w:r w:rsidRPr="005D2B3F">
        <w:t xml:space="preserve">The complainant will be informed </w:t>
      </w:r>
      <w:r w:rsidR="006753B0" w:rsidRPr="005D2B3F">
        <w:t>about the final</w:t>
      </w:r>
      <w:r w:rsidR="00C45663" w:rsidRPr="005D2B3F">
        <w:t xml:space="preserve"> decision</w:t>
      </w:r>
      <w:r w:rsidR="006753B0" w:rsidRPr="005D2B3F">
        <w:t xml:space="preserve"> by the ESPON EGTC</w:t>
      </w:r>
      <w:r w:rsidR="00C45663" w:rsidRPr="005D2B3F">
        <w:t xml:space="preserve"> within </w:t>
      </w:r>
      <w:r w:rsidR="00021C07" w:rsidRPr="005D2B3F">
        <w:t>15</w:t>
      </w:r>
      <w:r w:rsidR="00C45663" w:rsidRPr="005D2B3F">
        <w:t xml:space="preserve"> working days</w:t>
      </w:r>
      <w:r w:rsidR="00921CA9" w:rsidRPr="005D2B3F">
        <w:t xml:space="preserve"> counting from the date of the reception of the complaint by the ESPON EGTC</w:t>
      </w:r>
      <w:r w:rsidR="00C45663" w:rsidRPr="005D2B3F">
        <w:t>.</w:t>
      </w:r>
      <w:r w:rsidR="00021C07" w:rsidRPr="005D2B3F">
        <w:t xml:space="preserve"> </w:t>
      </w:r>
    </w:p>
    <w:p w:rsidR="00D177AA" w:rsidRPr="005D2B3F" w:rsidRDefault="00D177AA" w:rsidP="003A328C">
      <w:pPr>
        <w:numPr>
          <w:ilvl w:val="0"/>
          <w:numId w:val="15"/>
        </w:numPr>
        <w:spacing w:after="120" w:line="240" w:lineRule="auto"/>
        <w:ind w:left="284" w:hanging="284"/>
        <w:jc w:val="both"/>
        <w:rPr>
          <w:b/>
        </w:rPr>
      </w:pPr>
      <w:r w:rsidRPr="005D2B3F">
        <w:rPr>
          <w:b/>
        </w:rPr>
        <w:t>Where to get further information?</w:t>
      </w:r>
    </w:p>
    <w:p w:rsidR="00D177AA" w:rsidRPr="005D2B3F" w:rsidRDefault="00D177AA" w:rsidP="00F200F4">
      <w:pPr>
        <w:jc w:val="both"/>
      </w:pPr>
      <w:r w:rsidRPr="005D2B3F">
        <w:t xml:space="preserve">Staff at the ESPON EGTC is available to field queries on developing </w:t>
      </w:r>
      <w:r w:rsidR="00AC293F" w:rsidRPr="005D2B3F">
        <w:t>stakeholder</w:t>
      </w:r>
      <w:r w:rsidRPr="005D2B3F">
        <w:t xml:space="preserve"> proposals.</w:t>
      </w:r>
      <w:r w:rsidR="00416379">
        <w:t xml:space="preserve"> </w:t>
      </w:r>
      <w:r w:rsidRPr="005D2B3F">
        <w:t>Please email you</w:t>
      </w:r>
      <w:r w:rsidR="005353A0" w:rsidRPr="005D2B3F">
        <w:t xml:space="preserve">r query to </w:t>
      </w:r>
      <w:hyperlink r:id="rId11" w:history="1">
        <w:r w:rsidR="005353A0" w:rsidRPr="005D2B3F">
          <w:rPr>
            <w:rStyle w:val="Hyperlink"/>
          </w:rPr>
          <w:t>application@espon.eu</w:t>
        </w:r>
      </w:hyperlink>
      <w:r w:rsidR="005353A0" w:rsidRPr="005D2B3F">
        <w:t xml:space="preserve">. </w:t>
      </w:r>
    </w:p>
    <w:p w:rsidR="009B3217" w:rsidRDefault="00D177AA" w:rsidP="00F200F4">
      <w:pPr>
        <w:jc w:val="both"/>
      </w:pPr>
      <w:r w:rsidRPr="005D2B3F">
        <w:lastRenderedPageBreak/>
        <w:t xml:space="preserve">All </w:t>
      </w:r>
      <w:r w:rsidR="003A328C">
        <w:t xml:space="preserve">reports from </w:t>
      </w:r>
      <w:r w:rsidRPr="005D2B3F">
        <w:t xml:space="preserve">previously implemented and ongoing </w:t>
      </w:r>
      <w:r w:rsidR="00DB7CCC" w:rsidRPr="005D2B3F">
        <w:t>Targeted A</w:t>
      </w:r>
      <w:r w:rsidRPr="005D2B3F">
        <w:t>nalyses are available for download at the ESPON website</w:t>
      </w:r>
      <w:r w:rsidR="003A328C">
        <w:t>. They</w:t>
      </w:r>
      <w:r w:rsidRPr="005D2B3F">
        <w:t xml:space="preserve"> may provide some useful </w:t>
      </w:r>
      <w:r w:rsidR="003A328C">
        <w:t>inspiration</w:t>
      </w:r>
      <w:r w:rsidRPr="005D2B3F">
        <w:t xml:space="preserve"> for stakeholders in developing their propo</w:t>
      </w:r>
      <w:bookmarkStart w:id="0" w:name="_GoBack"/>
      <w:bookmarkEnd w:id="0"/>
      <w:r w:rsidRPr="005D2B3F">
        <w:t>sals.</w:t>
      </w:r>
    </w:p>
    <w:sectPr w:rsidR="009B3217" w:rsidSect="00667303">
      <w:footerReference w:type="default" r:id="rId12"/>
      <w:pgSz w:w="11906" w:h="16838"/>
      <w:pgMar w:top="1417" w:right="1417" w:bottom="1417" w:left="1417"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3C5" w:rsidRDefault="000A43C5" w:rsidP="00BB7BCA">
      <w:pPr>
        <w:spacing w:after="0" w:line="240" w:lineRule="auto"/>
      </w:pPr>
      <w:r>
        <w:separator/>
      </w:r>
    </w:p>
  </w:endnote>
  <w:endnote w:type="continuationSeparator" w:id="0">
    <w:p w:rsidR="000A43C5" w:rsidRDefault="000A43C5" w:rsidP="00BB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63F" w:rsidRPr="00C068F5" w:rsidRDefault="00C068F5" w:rsidP="001A43B4">
    <w:pPr>
      <w:pStyle w:val="Footer"/>
      <w:rPr>
        <w:sz w:val="20"/>
        <w:szCs w:val="20"/>
        <w:lang w:val="en-GB"/>
      </w:rPr>
    </w:pPr>
    <w:r w:rsidRPr="00C068F5">
      <w:rPr>
        <w:sz w:val="20"/>
        <w:szCs w:val="20"/>
        <w:lang w:val="en-GB"/>
      </w:rPr>
      <w:t xml:space="preserve">Guidance for stakeholder proposals / cut-off date </w:t>
    </w:r>
    <w:r w:rsidR="000167D6">
      <w:rPr>
        <w:sz w:val="20"/>
        <w:szCs w:val="20"/>
        <w:lang w:val="en-GB"/>
      </w:rPr>
      <w:t>28 June</w:t>
    </w:r>
    <w:r w:rsidRPr="00C068F5">
      <w:rPr>
        <w:sz w:val="20"/>
        <w:szCs w:val="20"/>
        <w:lang w:val="en-GB"/>
      </w:rPr>
      <w:t xml:space="preserve"> 2019</w:t>
    </w:r>
    <w:r w:rsidRPr="00C068F5">
      <w:rPr>
        <w:sz w:val="20"/>
        <w:szCs w:val="20"/>
        <w:lang w:val="en-GB"/>
      </w:rPr>
      <w:tab/>
    </w:r>
    <w:r w:rsidR="00EA463F" w:rsidRPr="00C068F5">
      <w:rPr>
        <w:sz w:val="20"/>
        <w:szCs w:val="20"/>
        <w:lang w:val="en-GB"/>
      </w:rPr>
      <w:t xml:space="preserve">Page </w:t>
    </w:r>
    <w:r w:rsidR="00EA463F" w:rsidRPr="00C068F5">
      <w:rPr>
        <w:sz w:val="20"/>
        <w:szCs w:val="20"/>
      </w:rPr>
      <w:fldChar w:fldCharType="begin"/>
    </w:r>
    <w:r w:rsidR="00EA463F" w:rsidRPr="00C068F5">
      <w:rPr>
        <w:sz w:val="20"/>
        <w:szCs w:val="20"/>
        <w:lang w:val="en-GB"/>
      </w:rPr>
      <w:instrText xml:space="preserve"> PAGE   \* MERGEFORMAT </w:instrText>
    </w:r>
    <w:r w:rsidR="00EA463F" w:rsidRPr="00C068F5">
      <w:rPr>
        <w:sz w:val="20"/>
        <w:szCs w:val="20"/>
      </w:rPr>
      <w:fldChar w:fldCharType="separate"/>
    </w:r>
    <w:r w:rsidR="00384703">
      <w:rPr>
        <w:noProof/>
        <w:sz w:val="20"/>
        <w:szCs w:val="20"/>
        <w:lang w:val="en-GB"/>
      </w:rPr>
      <w:t>6</w:t>
    </w:r>
    <w:r w:rsidR="00EA463F" w:rsidRPr="00C068F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3C5" w:rsidRDefault="000A43C5" w:rsidP="00BB7BCA">
      <w:pPr>
        <w:spacing w:after="0" w:line="240" w:lineRule="auto"/>
      </w:pPr>
      <w:r>
        <w:separator/>
      </w:r>
    </w:p>
  </w:footnote>
  <w:footnote w:type="continuationSeparator" w:id="0">
    <w:p w:rsidR="000A43C5" w:rsidRDefault="000A43C5" w:rsidP="00BB7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67E"/>
    <w:multiLevelType w:val="hybridMultilevel"/>
    <w:tmpl w:val="21729D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26C58"/>
    <w:multiLevelType w:val="hybridMultilevel"/>
    <w:tmpl w:val="1D94319E"/>
    <w:lvl w:ilvl="0" w:tplc="140C000F">
      <w:start w:val="3"/>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E2C3091"/>
    <w:multiLevelType w:val="hybridMultilevel"/>
    <w:tmpl w:val="DDBADAA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7A76DBD"/>
    <w:multiLevelType w:val="hybridMultilevel"/>
    <w:tmpl w:val="97F40BB6"/>
    <w:lvl w:ilvl="0" w:tplc="BFC68046">
      <w:numFmt w:val="bullet"/>
      <w:lvlText w:val="-"/>
      <w:lvlJc w:val="left"/>
      <w:pPr>
        <w:ind w:left="720" w:hanging="360"/>
      </w:pPr>
      <w:rPr>
        <w:rFonts w:ascii="Calibri" w:eastAsia="Calibr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A7E6119"/>
    <w:multiLevelType w:val="hybridMultilevel"/>
    <w:tmpl w:val="AF0845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2649A"/>
    <w:multiLevelType w:val="hybridMultilevel"/>
    <w:tmpl w:val="676E3CD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2D793C69"/>
    <w:multiLevelType w:val="multilevel"/>
    <w:tmpl w:val="AECC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A6B8F"/>
    <w:multiLevelType w:val="hybridMultilevel"/>
    <w:tmpl w:val="2B304098"/>
    <w:lvl w:ilvl="0" w:tplc="04090001">
      <w:start w:val="1"/>
      <w:numFmt w:val="bullet"/>
      <w:lvlText w:val=""/>
      <w:lvlJc w:val="left"/>
      <w:pPr>
        <w:tabs>
          <w:tab w:val="num" w:pos="720"/>
        </w:tabs>
        <w:ind w:left="720" w:hanging="360"/>
      </w:pPr>
      <w:rPr>
        <w:rFonts w:ascii="Symbol" w:hAnsi="Symbol" w:hint="default"/>
      </w:rPr>
    </w:lvl>
    <w:lvl w:ilvl="1" w:tplc="DDC20FB0">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195CAE"/>
    <w:multiLevelType w:val="hybridMultilevel"/>
    <w:tmpl w:val="A54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23375"/>
    <w:multiLevelType w:val="hybridMultilevel"/>
    <w:tmpl w:val="4B8C89CE"/>
    <w:lvl w:ilvl="0" w:tplc="64AC7FEE">
      <w:start w:val="3"/>
      <w:numFmt w:val="upperRoman"/>
      <w:lvlText w:val="%1."/>
      <w:lvlJc w:val="left"/>
      <w:pPr>
        <w:ind w:left="1425" w:hanging="720"/>
      </w:pPr>
      <w:rPr>
        <w:rFonts w:hint="default"/>
      </w:rPr>
    </w:lvl>
    <w:lvl w:ilvl="1" w:tplc="140C0019" w:tentative="1">
      <w:start w:val="1"/>
      <w:numFmt w:val="lowerLetter"/>
      <w:lvlText w:val="%2."/>
      <w:lvlJc w:val="left"/>
      <w:pPr>
        <w:ind w:left="1785" w:hanging="360"/>
      </w:pPr>
    </w:lvl>
    <w:lvl w:ilvl="2" w:tplc="140C001B" w:tentative="1">
      <w:start w:val="1"/>
      <w:numFmt w:val="lowerRoman"/>
      <w:lvlText w:val="%3."/>
      <w:lvlJc w:val="right"/>
      <w:pPr>
        <w:ind w:left="2505" w:hanging="180"/>
      </w:pPr>
    </w:lvl>
    <w:lvl w:ilvl="3" w:tplc="140C000F" w:tentative="1">
      <w:start w:val="1"/>
      <w:numFmt w:val="decimal"/>
      <w:lvlText w:val="%4."/>
      <w:lvlJc w:val="left"/>
      <w:pPr>
        <w:ind w:left="3225" w:hanging="360"/>
      </w:pPr>
    </w:lvl>
    <w:lvl w:ilvl="4" w:tplc="140C0019" w:tentative="1">
      <w:start w:val="1"/>
      <w:numFmt w:val="lowerLetter"/>
      <w:lvlText w:val="%5."/>
      <w:lvlJc w:val="left"/>
      <w:pPr>
        <w:ind w:left="3945" w:hanging="360"/>
      </w:pPr>
    </w:lvl>
    <w:lvl w:ilvl="5" w:tplc="140C001B" w:tentative="1">
      <w:start w:val="1"/>
      <w:numFmt w:val="lowerRoman"/>
      <w:lvlText w:val="%6."/>
      <w:lvlJc w:val="right"/>
      <w:pPr>
        <w:ind w:left="4665" w:hanging="180"/>
      </w:pPr>
    </w:lvl>
    <w:lvl w:ilvl="6" w:tplc="140C000F" w:tentative="1">
      <w:start w:val="1"/>
      <w:numFmt w:val="decimal"/>
      <w:lvlText w:val="%7."/>
      <w:lvlJc w:val="left"/>
      <w:pPr>
        <w:ind w:left="5385" w:hanging="360"/>
      </w:pPr>
    </w:lvl>
    <w:lvl w:ilvl="7" w:tplc="140C0019" w:tentative="1">
      <w:start w:val="1"/>
      <w:numFmt w:val="lowerLetter"/>
      <w:lvlText w:val="%8."/>
      <w:lvlJc w:val="left"/>
      <w:pPr>
        <w:ind w:left="6105" w:hanging="360"/>
      </w:pPr>
    </w:lvl>
    <w:lvl w:ilvl="8" w:tplc="140C001B" w:tentative="1">
      <w:start w:val="1"/>
      <w:numFmt w:val="lowerRoman"/>
      <w:lvlText w:val="%9."/>
      <w:lvlJc w:val="right"/>
      <w:pPr>
        <w:ind w:left="6825" w:hanging="180"/>
      </w:pPr>
    </w:lvl>
  </w:abstractNum>
  <w:abstractNum w:abstractNumId="10" w15:restartNumberingAfterBreak="0">
    <w:nsid w:val="49016AC8"/>
    <w:multiLevelType w:val="hybridMultilevel"/>
    <w:tmpl w:val="6F1AB75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4C3131D1"/>
    <w:multiLevelType w:val="hybridMultilevel"/>
    <w:tmpl w:val="C600849C"/>
    <w:lvl w:ilvl="0" w:tplc="9B14CD04">
      <w:start w:val="1"/>
      <w:numFmt w:val="decimal"/>
      <w:lvlText w:val="%10%"/>
      <w:lvlJc w:val="left"/>
      <w:pPr>
        <w:ind w:left="1004"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4F873C67"/>
    <w:multiLevelType w:val="hybridMultilevel"/>
    <w:tmpl w:val="1C6A5A36"/>
    <w:lvl w:ilvl="0" w:tplc="04090001">
      <w:start w:val="1"/>
      <w:numFmt w:val="bullet"/>
      <w:lvlText w:val=""/>
      <w:lvlJc w:val="left"/>
      <w:pPr>
        <w:tabs>
          <w:tab w:val="num" w:pos="720"/>
        </w:tabs>
        <w:ind w:left="720" w:hanging="360"/>
      </w:pPr>
      <w:rPr>
        <w:rFonts w:ascii="Symbol" w:hAnsi="Symbol" w:hint="default"/>
      </w:rPr>
    </w:lvl>
    <w:lvl w:ilvl="1" w:tplc="DDC20FB0">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0E4B07"/>
    <w:multiLevelType w:val="hybridMultilevel"/>
    <w:tmpl w:val="186E7C04"/>
    <w:lvl w:ilvl="0" w:tplc="0809000F">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4" w15:restartNumberingAfterBreak="0">
    <w:nsid w:val="61683008"/>
    <w:multiLevelType w:val="hybridMultilevel"/>
    <w:tmpl w:val="2D884196"/>
    <w:lvl w:ilvl="0" w:tplc="3124C188">
      <w:start w:val="3"/>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64A428E6"/>
    <w:multiLevelType w:val="hybridMultilevel"/>
    <w:tmpl w:val="4F6EACA6"/>
    <w:lvl w:ilvl="0" w:tplc="9C6695EE">
      <w:numFmt w:val="bullet"/>
      <w:lvlText w:val="-"/>
      <w:lvlJc w:val="left"/>
      <w:pPr>
        <w:ind w:left="720" w:hanging="360"/>
      </w:pPr>
      <w:rPr>
        <w:rFonts w:ascii="Calibri" w:eastAsia="Calibr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677667AA"/>
    <w:multiLevelType w:val="hybridMultilevel"/>
    <w:tmpl w:val="7AE04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52951"/>
    <w:multiLevelType w:val="hybridMultilevel"/>
    <w:tmpl w:val="870A0250"/>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16"/>
  </w:num>
  <w:num w:numId="5">
    <w:abstractNumId w:val="4"/>
  </w:num>
  <w:num w:numId="6">
    <w:abstractNumId w:val="6"/>
  </w:num>
  <w:num w:numId="7">
    <w:abstractNumId w:val="17"/>
  </w:num>
  <w:num w:numId="8">
    <w:abstractNumId w:val="0"/>
  </w:num>
  <w:num w:numId="9">
    <w:abstractNumId w:val="5"/>
  </w:num>
  <w:num w:numId="10">
    <w:abstractNumId w:val="12"/>
  </w:num>
  <w:num w:numId="11">
    <w:abstractNumId w:val="7"/>
  </w:num>
  <w:num w:numId="12">
    <w:abstractNumId w:val="2"/>
  </w:num>
  <w:num w:numId="13">
    <w:abstractNumId w:val="9"/>
  </w:num>
  <w:num w:numId="14">
    <w:abstractNumId w:val="14"/>
  </w:num>
  <w:num w:numId="15">
    <w:abstractNumId w:val="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AF"/>
    <w:rsid w:val="00011658"/>
    <w:rsid w:val="000167D6"/>
    <w:rsid w:val="0001717B"/>
    <w:rsid w:val="00021553"/>
    <w:rsid w:val="00021C07"/>
    <w:rsid w:val="000230B5"/>
    <w:rsid w:val="00024BC1"/>
    <w:rsid w:val="00052EF8"/>
    <w:rsid w:val="00054F57"/>
    <w:rsid w:val="00060401"/>
    <w:rsid w:val="00071357"/>
    <w:rsid w:val="00075590"/>
    <w:rsid w:val="00076A09"/>
    <w:rsid w:val="00086FD6"/>
    <w:rsid w:val="00093C41"/>
    <w:rsid w:val="000A031F"/>
    <w:rsid w:val="000A35FB"/>
    <w:rsid w:val="000A43C5"/>
    <w:rsid w:val="000B6CAB"/>
    <w:rsid w:val="000C0CDE"/>
    <w:rsid w:val="000C5486"/>
    <w:rsid w:val="000C7161"/>
    <w:rsid w:val="000D6A56"/>
    <w:rsid w:val="000E681A"/>
    <w:rsid w:val="00122884"/>
    <w:rsid w:val="001268F3"/>
    <w:rsid w:val="00140E33"/>
    <w:rsid w:val="00147ACF"/>
    <w:rsid w:val="001739CF"/>
    <w:rsid w:val="00174DDC"/>
    <w:rsid w:val="001927E5"/>
    <w:rsid w:val="001A31AC"/>
    <w:rsid w:val="001A43B4"/>
    <w:rsid w:val="001B66D4"/>
    <w:rsid w:val="001D26A5"/>
    <w:rsid w:val="001D49CC"/>
    <w:rsid w:val="001E255D"/>
    <w:rsid w:val="001E7A1E"/>
    <w:rsid w:val="001F4A5B"/>
    <w:rsid w:val="001F6F0D"/>
    <w:rsid w:val="00211BF0"/>
    <w:rsid w:val="00213CA9"/>
    <w:rsid w:val="00240528"/>
    <w:rsid w:val="0024112E"/>
    <w:rsid w:val="00264AA6"/>
    <w:rsid w:val="00266CE0"/>
    <w:rsid w:val="002703D4"/>
    <w:rsid w:val="002737EC"/>
    <w:rsid w:val="00275613"/>
    <w:rsid w:val="00275986"/>
    <w:rsid w:val="002902DC"/>
    <w:rsid w:val="002B7448"/>
    <w:rsid w:val="002C3214"/>
    <w:rsid w:val="002D57D5"/>
    <w:rsid w:val="002F3611"/>
    <w:rsid w:val="0031299C"/>
    <w:rsid w:val="00322587"/>
    <w:rsid w:val="00322CC6"/>
    <w:rsid w:val="00327867"/>
    <w:rsid w:val="0033499C"/>
    <w:rsid w:val="003401C0"/>
    <w:rsid w:val="00347092"/>
    <w:rsid w:val="003608C9"/>
    <w:rsid w:val="00366F38"/>
    <w:rsid w:val="00374113"/>
    <w:rsid w:val="00375E7C"/>
    <w:rsid w:val="0038408C"/>
    <w:rsid w:val="00384703"/>
    <w:rsid w:val="00394241"/>
    <w:rsid w:val="003A328C"/>
    <w:rsid w:val="003B1C3D"/>
    <w:rsid w:val="003B3AFF"/>
    <w:rsid w:val="003C6823"/>
    <w:rsid w:val="003D3774"/>
    <w:rsid w:val="003E120B"/>
    <w:rsid w:val="003F1209"/>
    <w:rsid w:val="003F2A4E"/>
    <w:rsid w:val="003F2C27"/>
    <w:rsid w:val="003F58F3"/>
    <w:rsid w:val="00406496"/>
    <w:rsid w:val="00407720"/>
    <w:rsid w:val="00412E26"/>
    <w:rsid w:val="004139BB"/>
    <w:rsid w:val="00416379"/>
    <w:rsid w:val="0041753E"/>
    <w:rsid w:val="00436BA8"/>
    <w:rsid w:val="00441DA5"/>
    <w:rsid w:val="004457BE"/>
    <w:rsid w:val="00446665"/>
    <w:rsid w:val="00450568"/>
    <w:rsid w:val="00456DC4"/>
    <w:rsid w:val="0046278C"/>
    <w:rsid w:val="004643B2"/>
    <w:rsid w:val="00474E97"/>
    <w:rsid w:val="00475565"/>
    <w:rsid w:val="00490C74"/>
    <w:rsid w:val="004A063F"/>
    <w:rsid w:val="004D01B2"/>
    <w:rsid w:val="004E1563"/>
    <w:rsid w:val="004E2BEE"/>
    <w:rsid w:val="004E69A0"/>
    <w:rsid w:val="004F29FA"/>
    <w:rsid w:val="004F4EF7"/>
    <w:rsid w:val="004F59BA"/>
    <w:rsid w:val="004F5C2C"/>
    <w:rsid w:val="004F79CC"/>
    <w:rsid w:val="005022F5"/>
    <w:rsid w:val="00503CE3"/>
    <w:rsid w:val="00503F0C"/>
    <w:rsid w:val="00506A15"/>
    <w:rsid w:val="00510044"/>
    <w:rsid w:val="00521D44"/>
    <w:rsid w:val="005341C1"/>
    <w:rsid w:val="005353A0"/>
    <w:rsid w:val="005365F6"/>
    <w:rsid w:val="00545D6D"/>
    <w:rsid w:val="005474AC"/>
    <w:rsid w:val="00560AFD"/>
    <w:rsid w:val="005903E0"/>
    <w:rsid w:val="005921B1"/>
    <w:rsid w:val="00595891"/>
    <w:rsid w:val="005A2204"/>
    <w:rsid w:val="005B1A71"/>
    <w:rsid w:val="005B334D"/>
    <w:rsid w:val="005C2C44"/>
    <w:rsid w:val="005D2B3F"/>
    <w:rsid w:val="005E585D"/>
    <w:rsid w:val="005F62D7"/>
    <w:rsid w:val="00622CA4"/>
    <w:rsid w:val="00622E0D"/>
    <w:rsid w:val="006301BA"/>
    <w:rsid w:val="00630289"/>
    <w:rsid w:val="006369F8"/>
    <w:rsid w:val="00667303"/>
    <w:rsid w:val="006753B0"/>
    <w:rsid w:val="00682EF8"/>
    <w:rsid w:val="006902FE"/>
    <w:rsid w:val="006912D8"/>
    <w:rsid w:val="006A6AE8"/>
    <w:rsid w:val="006B0874"/>
    <w:rsid w:val="006B4642"/>
    <w:rsid w:val="006B4FE0"/>
    <w:rsid w:val="006C0421"/>
    <w:rsid w:val="006C1DFD"/>
    <w:rsid w:val="006C586A"/>
    <w:rsid w:val="006E3B82"/>
    <w:rsid w:val="006F1D5C"/>
    <w:rsid w:val="0070300D"/>
    <w:rsid w:val="007044A4"/>
    <w:rsid w:val="00710E1C"/>
    <w:rsid w:val="00714D9A"/>
    <w:rsid w:val="0075112F"/>
    <w:rsid w:val="00760CFC"/>
    <w:rsid w:val="007615B2"/>
    <w:rsid w:val="00761D90"/>
    <w:rsid w:val="00773621"/>
    <w:rsid w:val="00780E65"/>
    <w:rsid w:val="00782CDD"/>
    <w:rsid w:val="0078412C"/>
    <w:rsid w:val="00785B8E"/>
    <w:rsid w:val="00793FAB"/>
    <w:rsid w:val="007A13BA"/>
    <w:rsid w:val="007A7156"/>
    <w:rsid w:val="007B451A"/>
    <w:rsid w:val="007B6692"/>
    <w:rsid w:val="007B78CF"/>
    <w:rsid w:val="007D1FA8"/>
    <w:rsid w:val="007D6F10"/>
    <w:rsid w:val="007E35F8"/>
    <w:rsid w:val="007F05C5"/>
    <w:rsid w:val="007F1309"/>
    <w:rsid w:val="007F3FF5"/>
    <w:rsid w:val="00801996"/>
    <w:rsid w:val="00812415"/>
    <w:rsid w:val="0082305A"/>
    <w:rsid w:val="00826235"/>
    <w:rsid w:val="00831C8D"/>
    <w:rsid w:val="0084730B"/>
    <w:rsid w:val="0085003E"/>
    <w:rsid w:val="008627AC"/>
    <w:rsid w:val="008669DD"/>
    <w:rsid w:val="008714B9"/>
    <w:rsid w:val="008777CE"/>
    <w:rsid w:val="00884C21"/>
    <w:rsid w:val="00887DC1"/>
    <w:rsid w:val="008925A9"/>
    <w:rsid w:val="008976FF"/>
    <w:rsid w:val="008A2C51"/>
    <w:rsid w:val="008B2956"/>
    <w:rsid w:val="008B6CD7"/>
    <w:rsid w:val="008E27E1"/>
    <w:rsid w:val="008E2C2B"/>
    <w:rsid w:val="008F725D"/>
    <w:rsid w:val="00904301"/>
    <w:rsid w:val="00905410"/>
    <w:rsid w:val="00920A78"/>
    <w:rsid w:val="00921CA9"/>
    <w:rsid w:val="00927FD8"/>
    <w:rsid w:val="009360A4"/>
    <w:rsid w:val="009411E7"/>
    <w:rsid w:val="00951DE7"/>
    <w:rsid w:val="00955982"/>
    <w:rsid w:val="0096033A"/>
    <w:rsid w:val="00977C5D"/>
    <w:rsid w:val="009A1710"/>
    <w:rsid w:val="009A5317"/>
    <w:rsid w:val="009A58DF"/>
    <w:rsid w:val="009B3217"/>
    <w:rsid w:val="009B67C9"/>
    <w:rsid w:val="009B767A"/>
    <w:rsid w:val="009C5C33"/>
    <w:rsid w:val="009D6984"/>
    <w:rsid w:val="009E44B8"/>
    <w:rsid w:val="009E4D01"/>
    <w:rsid w:val="00A00E1A"/>
    <w:rsid w:val="00A01CD4"/>
    <w:rsid w:val="00A419D4"/>
    <w:rsid w:val="00A420C3"/>
    <w:rsid w:val="00A42992"/>
    <w:rsid w:val="00A56529"/>
    <w:rsid w:val="00A62F23"/>
    <w:rsid w:val="00A655B9"/>
    <w:rsid w:val="00A66E7D"/>
    <w:rsid w:val="00A675F9"/>
    <w:rsid w:val="00A819A5"/>
    <w:rsid w:val="00A833F3"/>
    <w:rsid w:val="00A95ED9"/>
    <w:rsid w:val="00AA2D55"/>
    <w:rsid w:val="00AA5E4B"/>
    <w:rsid w:val="00AB789E"/>
    <w:rsid w:val="00AC293F"/>
    <w:rsid w:val="00AC653B"/>
    <w:rsid w:val="00AC70AF"/>
    <w:rsid w:val="00AD2653"/>
    <w:rsid w:val="00AF4065"/>
    <w:rsid w:val="00B02F99"/>
    <w:rsid w:val="00B05D63"/>
    <w:rsid w:val="00B07C57"/>
    <w:rsid w:val="00B11B91"/>
    <w:rsid w:val="00B23CAE"/>
    <w:rsid w:val="00B31D09"/>
    <w:rsid w:val="00B43010"/>
    <w:rsid w:val="00B477F7"/>
    <w:rsid w:val="00B47D1C"/>
    <w:rsid w:val="00B664FC"/>
    <w:rsid w:val="00B72AA6"/>
    <w:rsid w:val="00B83D90"/>
    <w:rsid w:val="00BA3B77"/>
    <w:rsid w:val="00BA5EFF"/>
    <w:rsid w:val="00BB3CCA"/>
    <w:rsid w:val="00BB7BCA"/>
    <w:rsid w:val="00BD711E"/>
    <w:rsid w:val="00BE0007"/>
    <w:rsid w:val="00BF0EA6"/>
    <w:rsid w:val="00BF302A"/>
    <w:rsid w:val="00BF35EF"/>
    <w:rsid w:val="00C0568A"/>
    <w:rsid w:val="00C068F5"/>
    <w:rsid w:val="00C20901"/>
    <w:rsid w:val="00C21438"/>
    <w:rsid w:val="00C45663"/>
    <w:rsid w:val="00C51B38"/>
    <w:rsid w:val="00C54966"/>
    <w:rsid w:val="00C773EE"/>
    <w:rsid w:val="00C86A5E"/>
    <w:rsid w:val="00C87AD0"/>
    <w:rsid w:val="00C932D6"/>
    <w:rsid w:val="00CA2224"/>
    <w:rsid w:val="00CA53D8"/>
    <w:rsid w:val="00CA5D16"/>
    <w:rsid w:val="00CC34A5"/>
    <w:rsid w:val="00CD766F"/>
    <w:rsid w:val="00CF1121"/>
    <w:rsid w:val="00CF43BF"/>
    <w:rsid w:val="00CF4950"/>
    <w:rsid w:val="00D155FC"/>
    <w:rsid w:val="00D177AA"/>
    <w:rsid w:val="00D178B0"/>
    <w:rsid w:val="00D21B7F"/>
    <w:rsid w:val="00D243B8"/>
    <w:rsid w:val="00D26D89"/>
    <w:rsid w:val="00D334E7"/>
    <w:rsid w:val="00D336BF"/>
    <w:rsid w:val="00D34FAB"/>
    <w:rsid w:val="00D416A1"/>
    <w:rsid w:val="00D41F71"/>
    <w:rsid w:val="00D43129"/>
    <w:rsid w:val="00D51774"/>
    <w:rsid w:val="00D66CE0"/>
    <w:rsid w:val="00D719B2"/>
    <w:rsid w:val="00D800A0"/>
    <w:rsid w:val="00DB3478"/>
    <w:rsid w:val="00DB636D"/>
    <w:rsid w:val="00DB7CCC"/>
    <w:rsid w:val="00DC3994"/>
    <w:rsid w:val="00DD3552"/>
    <w:rsid w:val="00E06F43"/>
    <w:rsid w:val="00E3399F"/>
    <w:rsid w:val="00E4648A"/>
    <w:rsid w:val="00E62818"/>
    <w:rsid w:val="00E82B85"/>
    <w:rsid w:val="00E8764C"/>
    <w:rsid w:val="00E90630"/>
    <w:rsid w:val="00E92157"/>
    <w:rsid w:val="00E948E9"/>
    <w:rsid w:val="00EA463F"/>
    <w:rsid w:val="00EA6ED6"/>
    <w:rsid w:val="00EB4E42"/>
    <w:rsid w:val="00EC2206"/>
    <w:rsid w:val="00ED01DD"/>
    <w:rsid w:val="00ED1FE9"/>
    <w:rsid w:val="00ED49BD"/>
    <w:rsid w:val="00EE75D3"/>
    <w:rsid w:val="00F01FAE"/>
    <w:rsid w:val="00F06BC2"/>
    <w:rsid w:val="00F17C04"/>
    <w:rsid w:val="00F200F4"/>
    <w:rsid w:val="00F24B5C"/>
    <w:rsid w:val="00F409CE"/>
    <w:rsid w:val="00F40C16"/>
    <w:rsid w:val="00F63AE3"/>
    <w:rsid w:val="00F64C49"/>
    <w:rsid w:val="00F66FAE"/>
    <w:rsid w:val="00F8517E"/>
    <w:rsid w:val="00F855B5"/>
    <w:rsid w:val="00F91865"/>
    <w:rsid w:val="00F965D8"/>
    <w:rsid w:val="00F977EF"/>
    <w:rsid w:val="00FA4F60"/>
    <w:rsid w:val="00FA58EA"/>
    <w:rsid w:val="00FB0DF8"/>
    <w:rsid w:val="00FB4AEF"/>
    <w:rsid w:val="00FD1A21"/>
    <w:rsid w:val="00FE0925"/>
    <w:rsid w:val="00FE1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736CB"/>
  <w15:chartTrackingRefBased/>
  <w15:docId w15:val="{065E3628-4348-43C2-A9E6-AAEB57AE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9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33"/>
    <w:pPr>
      <w:ind w:left="720"/>
      <w:contextualSpacing/>
    </w:pPr>
  </w:style>
  <w:style w:type="paragraph" w:styleId="BalloonText">
    <w:name w:val="Balloon Text"/>
    <w:basedOn w:val="Normal"/>
    <w:link w:val="BalloonTextChar"/>
    <w:uiPriority w:val="99"/>
    <w:semiHidden/>
    <w:unhideWhenUsed/>
    <w:rsid w:val="00C87A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87AD0"/>
    <w:rPr>
      <w:rFonts w:ascii="Tahoma" w:hAnsi="Tahoma" w:cs="Tahoma"/>
      <w:sz w:val="16"/>
      <w:szCs w:val="16"/>
    </w:rPr>
  </w:style>
  <w:style w:type="character" w:styleId="CommentReference">
    <w:name w:val="annotation reference"/>
    <w:uiPriority w:val="99"/>
    <w:semiHidden/>
    <w:unhideWhenUsed/>
    <w:rsid w:val="00174DDC"/>
    <w:rPr>
      <w:sz w:val="16"/>
      <w:szCs w:val="16"/>
    </w:rPr>
  </w:style>
  <w:style w:type="paragraph" w:styleId="CommentText">
    <w:name w:val="annotation text"/>
    <w:basedOn w:val="Normal"/>
    <w:link w:val="CommentTextChar"/>
    <w:uiPriority w:val="99"/>
    <w:unhideWhenUsed/>
    <w:rsid w:val="00174DDC"/>
    <w:rPr>
      <w:sz w:val="20"/>
      <w:szCs w:val="20"/>
      <w:lang w:val="x-none"/>
    </w:rPr>
  </w:style>
  <w:style w:type="character" w:customStyle="1" w:styleId="CommentTextChar">
    <w:name w:val="Comment Text Char"/>
    <w:link w:val="CommentText"/>
    <w:uiPriority w:val="99"/>
    <w:rsid w:val="00174DDC"/>
    <w:rPr>
      <w:lang w:eastAsia="en-US"/>
    </w:rPr>
  </w:style>
  <w:style w:type="paragraph" w:styleId="CommentSubject">
    <w:name w:val="annotation subject"/>
    <w:basedOn w:val="CommentText"/>
    <w:next w:val="CommentText"/>
    <w:link w:val="CommentSubjectChar"/>
    <w:uiPriority w:val="99"/>
    <w:semiHidden/>
    <w:unhideWhenUsed/>
    <w:rsid w:val="00174DDC"/>
    <w:rPr>
      <w:b/>
      <w:bCs/>
    </w:rPr>
  </w:style>
  <w:style w:type="character" w:customStyle="1" w:styleId="CommentSubjectChar">
    <w:name w:val="Comment Subject Char"/>
    <w:link w:val="CommentSubject"/>
    <w:uiPriority w:val="99"/>
    <w:semiHidden/>
    <w:rsid w:val="00174DDC"/>
    <w:rPr>
      <w:b/>
      <w:bCs/>
      <w:lang w:eastAsia="en-US"/>
    </w:rPr>
  </w:style>
  <w:style w:type="paragraph" w:styleId="Header">
    <w:name w:val="header"/>
    <w:basedOn w:val="Normal"/>
    <w:link w:val="HeaderChar"/>
    <w:uiPriority w:val="99"/>
    <w:unhideWhenUsed/>
    <w:rsid w:val="00BB7BCA"/>
    <w:pPr>
      <w:tabs>
        <w:tab w:val="center" w:pos="4536"/>
        <w:tab w:val="right" w:pos="9072"/>
      </w:tabs>
    </w:pPr>
    <w:rPr>
      <w:lang w:val="fr-LU" w:eastAsia="x-none"/>
    </w:rPr>
  </w:style>
  <w:style w:type="character" w:customStyle="1" w:styleId="HeaderChar">
    <w:name w:val="Header Char"/>
    <w:link w:val="Header"/>
    <w:uiPriority w:val="99"/>
    <w:rsid w:val="00BB7BCA"/>
    <w:rPr>
      <w:sz w:val="22"/>
      <w:szCs w:val="22"/>
      <w:lang w:val="fr-LU"/>
    </w:rPr>
  </w:style>
  <w:style w:type="paragraph" w:styleId="Footer">
    <w:name w:val="footer"/>
    <w:basedOn w:val="Normal"/>
    <w:link w:val="FooterChar"/>
    <w:uiPriority w:val="99"/>
    <w:unhideWhenUsed/>
    <w:rsid w:val="00BB7BCA"/>
    <w:pPr>
      <w:tabs>
        <w:tab w:val="center" w:pos="4536"/>
        <w:tab w:val="right" w:pos="9072"/>
      </w:tabs>
    </w:pPr>
    <w:rPr>
      <w:lang w:val="fr-LU" w:eastAsia="x-none"/>
    </w:rPr>
  </w:style>
  <w:style w:type="character" w:customStyle="1" w:styleId="FooterChar">
    <w:name w:val="Footer Char"/>
    <w:link w:val="Footer"/>
    <w:uiPriority w:val="99"/>
    <w:rsid w:val="00BB7BCA"/>
    <w:rPr>
      <w:sz w:val="22"/>
      <w:szCs w:val="22"/>
      <w:lang w:val="fr-LU"/>
    </w:rPr>
  </w:style>
  <w:style w:type="paragraph" w:styleId="NormalWeb">
    <w:name w:val="Normal (Web)"/>
    <w:basedOn w:val="Normal"/>
    <w:uiPriority w:val="99"/>
    <w:semiHidden/>
    <w:unhideWhenUsed/>
    <w:rsid w:val="00BB7BCA"/>
    <w:pPr>
      <w:spacing w:before="100" w:beforeAutospacing="1" w:after="100" w:afterAutospacing="1" w:line="240" w:lineRule="auto"/>
    </w:pPr>
    <w:rPr>
      <w:rFonts w:ascii="Times New Roman" w:eastAsia="Times New Roman" w:hAnsi="Times New Roman"/>
      <w:sz w:val="24"/>
      <w:szCs w:val="24"/>
      <w:lang w:eastAsia="fr-LU"/>
    </w:rPr>
  </w:style>
  <w:style w:type="character" w:customStyle="1" w:styleId="apple-converted-space">
    <w:name w:val="apple-converted-space"/>
    <w:basedOn w:val="DefaultParagraphFont"/>
    <w:rsid w:val="00BB7BCA"/>
  </w:style>
  <w:style w:type="character" w:styleId="Strong">
    <w:name w:val="Strong"/>
    <w:uiPriority w:val="22"/>
    <w:qFormat/>
    <w:rsid w:val="00BB7BCA"/>
    <w:rPr>
      <w:b/>
      <w:bCs/>
    </w:rPr>
  </w:style>
  <w:style w:type="character" w:styleId="Hyperlink">
    <w:name w:val="Hyperlink"/>
    <w:uiPriority w:val="99"/>
    <w:unhideWhenUsed/>
    <w:rsid w:val="005353A0"/>
    <w:rPr>
      <w:color w:val="0000FF"/>
      <w:u w:val="single"/>
    </w:rPr>
  </w:style>
  <w:style w:type="paragraph" w:styleId="Revision">
    <w:name w:val="Revision"/>
    <w:hidden/>
    <w:uiPriority w:val="99"/>
    <w:semiHidden/>
    <w:rsid w:val="00122884"/>
    <w:rPr>
      <w:sz w:val="22"/>
      <w:szCs w:val="22"/>
      <w:lang w:val="fr-LU" w:eastAsia="en-US"/>
    </w:rPr>
  </w:style>
  <w:style w:type="character" w:customStyle="1" w:styleId="bumpedfont15">
    <w:name w:val="bumpedfont15"/>
    <w:basedOn w:val="DefaultParagraphFont"/>
    <w:rsid w:val="004F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1819">
      <w:bodyDiv w:val="1"/>
      <w:marLeft w:val="0"/>
      <w:marRight w:val="0"/>
      <w:marTop w:val="0"/>
      <w:marBottom w:val="0"/>
      <w:divBdr>
        <w:top w:val="none" w:sz="0" w:space="0" w:color="auto"/>
        <w:left w:val="none" w:sz="0" w:space="0" w:color="auto"/>
        <w:bottom w:val="none" w:sz="0" w:space="0" w:color="auto"/>
        <w:right w:val="none" w:sz="0" w:space="0" w:color="auto"/>
      </w:divBdr>
    </w:div>
    <w:div w:id="508788574">
      <w:bodyDiv w:val="1"/>
      <w:marLeft w:val="0"/>
      <w:marRight w:val="0"/>
      <w:marTop w:val="0"/>
      <w:marBottom w:val="0"/>
      <w:divBdr>
        <w:top w:val="none" w:sz="0" w:space="0" w:color="auto"/>
        <w:left w:val="none" w:sz="0" w:space="0" w:color="auto"/>
        <w:bottom w:val="none" w:sz="0" w:space="0" w:color="auto"/>
        <w:right w:val="none" w:sz="0" w:space="0" w:color="auto"/>
      </w:divBdr>
    </w:div>
    <w:div w:id="612399030">
      <w:bodyDiv w:val="1"/>
      <w:marLeft w:val="0"/>
      <w:marRight w:val="0"/>
      <w:marTop w:val="0"/>
      <w:marBottom w:val="0"/>
      <w:divBdr>
        <w:top w:val="none" w:sz="0" w:space="0" w:color="auto"/>
        <w:left w:val="none" w:sz="0" w:space="0" w:color="auto"/>
        <w:bottom w:val="none" w:sz="0" w:space="0" w:color="auto"/>
        <w:right w:val="none" w:sz="0" w:space="0" w:color="auto"/>
      </w:divBdr>
    </w:div>
    <w:div w:id="1613173542">
      <w:bodyDiv w:val="1"/>
      <w:marLeft w:val="0"/>
      <w:marRight w:val="0"/>
      <w:marTop w:val="0"/>
      <w:marBottom w:val="0"/>
      <w:divBdr>
        <w:top w:val="none" w:sz="0" w:space="0" w:color="auto"/>
        <w:left w:val="none" w:sz="0" w:space="0" w:color="auto"/>
        <w:bottom w:val="none" w:sz="0" w:space="0" w:color="auto"/>
        <w:right w:val="none" w:sz="0" w:space="0" w:color="auto"/>
      </w:divBdr>
    </w:div>
    <w:div w:id="1858500027">
      <w:bodyDiv w:val="1"/>
      <w:marLeft w:val="0"/>
      <w:marRight w:val="0"/>
      <w:marTop w:val="0"/>
      <w:marBottom w:val="0"/>
      <w:divBdr>
        <w:top w:val="none" w:sz="0" w:space="0" w:color="auto"/>
        <w:left w:val="none" w:sz="0" w:space="0" w:color="auto"/>
        <w:bottom w:val="none" w:sz="0" w:space="0" w:color="auto"/>
        <w:right w:val="none" w:sz="0" w:space="0" w:color="auto"/>
      </w:divBdr>
    </w:div>
    <w:div w:id="19063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espon.eu" TargetMode="External"/><Relationship Id="rId5" Type="http://schemas.openxmlformats.org/officeDocument/2006/relationships/webSettings" Target="webSettings.xml"/><Relationship Id="rId10" Type="http://schemas.openxmlformats.org/officeDocument/2006/relationships/hyperlink" Target="mailto:application@espon.e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B8DD2-0BF7-4A42-91F6-2554ABC6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Links>
    <vt:vector size="18" baseType="variant">
      <vt:variant>
        <vt:i4>6422620</vt:i4>
      </vt:variant>
      <vt:variant>
        <vt:i4>6</vt:i4>
      </vt:variant>
      <vt:variant>
        <vt:i4>0</vt:i4>
      </vt:variant>
      <vt:variant>
        <vt:i4>5</vt:i4>
      </vt:variant>
      <vt:variant>
        <vt:lpwstr>mailto:application@espon.eu</vt:lpwstr>
      </vt:variant>
      <vt:variant>
        <vt:lpwstr/>
      </vt:variant>
      <vt:variant>
        <vt:i4>6422620</vt:i4>
      </vt:variant>
      <vt:variant>
        <vt:i4>3</vt:i4>
      </vt:variant>
      <vt:variant>
        <vt:i4>0</vt:i4>
      </vt:variant>
      <vt:variant>
        <vt:i4>5</vt:i4>
      </vt:variant>
      <vt:variant>
        <vt:lpwstr>mailto:application@espon.eu</vt:lpwstr>
      </vt:variant>
      <vt:variant>
        <vt:lpwstr/>
      </vt:variant>
      <vt:variant>
        <vt:i4>2818073</vt:i4>
      </vt:variant>
      <vt:variant>
        <vt:i4>2123</vt:i4>
      </vt:variant>
      <vt:variant>
        <vt:i4>1025</vt:i4>
      </vt:variant>
      <vt:variant>
        <vt:i4>1</vt:i4>
      </vt:variant>
      <vt:variant>
        <vt:lpwstr>cid:image001.jpg@01D1C574.4EF48160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ojeda</dc:creator>
  <cp:keywords/>
  <cp:lastModifiedBy>piera chips</cp:lastModifiedBy>
  <cp:revision>2</cp:revision>
  <cp:lastPrinted>2017-01-17T12:53:00Z</cp:lastPrinted>
  <dcterms:created xsi:type="dcterms:W3CDTF">2019-02-15T09:02:00Z</dcterms:created>
  <dcterms:modified xsi:type="dcterms:W3CDTF">2019-02-15T09:02:00Z</dcterms:modified>
</cp:coreProperties>
</file>